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A02A0" w14:textId="77777777" w:rsidR="00821A84" w:rsidRPr="00821A84" w:rsidRDefault="00821A84" w:rsidP="00821A84">
      <w:pPr>
        <w:spacing w:after="0" w:line="240" w:lineRule="auto"/>
        <w:jc w:val="both"/>
        <w:rPr>
          <w:rFonts w:ascii="Times New Roman" w:eastAsia="Calibri" w:hAnsi="Times New Roman" w:cs="Times New Roman"/>
          <w:b/>
          <w:bCs/>
          <w:kern w:val="0"/>
          <w14:ligatures w14:val="none"/>
        </w:rPr>
      </w:pPr>
    </w:p>
    <w:p w14:paraId="68E36C78" w14:textId="77777777" w:rsidR="00821A84" w:rsidRPr="00821A84" w:rsidRDefault="00821A84" w:rsidP="00821A84">
      <w:pPr>
        <w:spacing w:after="0" w:line="240" w:lineRule="auto"/>
        <w:ind w:firstLine="539"/>
        <w:jc w:val="center"/>
        <w:rPr>
          <w:rFonts w:ascii="Times New Roman" w:eastAsia="Times New Roman" w:hAnsi="Times New Roman" w:cs="Times New Roman"/>
          <w:b/>
          <w:bCs/>
          <w:color w:val="808080"/>
          <w:kern w:val="0"/>
          <w14:ligatures w14:val="none"/>
        </w:rPr>
      </w:pPr>
      <w:r w:rsidRPr="00821A84">
        <w:rPr>
          <w:rFonts w:ascii="Times New Roman" w:eastAsia="Times New Roman" w:hAnsi="Times New Roman" w:cs="Times New Roman"/>
          <w:b/>
          <w:bCs/>
          <w:color w:val="808080"/>
          <w:kern w:val="0"/>
          <w14:ligatures w14:val="none"/>
        </w:rPr>
        <w:t>(Derinimo pažymos forma)</w:t>
      </w:r>
    </w:p>
    <w:p w14:paraId="77C52835" w14:textId="77777777" w:rsidR="00821A84" w:rsidRPr="00821A84" w:rsidRDefault="00821A84" w:rsidP="00821A84">
      <w:pPr>
        <w:spacing w:after="0" w:line="240" w:lineRule="auto"/>
        <w:jc w:val="center"/>
        <w:rPr>
          <w:rFonts w:ascii="Times New Roman" w:eastAsia="Calibri" w:hAnsi="Times New Roman" w:cs="Times New Roman"/>
          <w:b/>
          <w:bCs/>
          <w:kern w:val="0"/>
          <w14:ligatures w14:val="none"/>
        </w:rPr>
      </w:pPr>
    </w:p>
    <w:p w14:paraId="61A479AE" w14:textId="77777777" w:rsidR="00821A84" w:rsidRPr="00821A84" w:rsidRDefault="00821A84" w:rsidP="00821A84">
      <w:pPr>
        <w:spacing w:after="0" w:line="240" w:lineRule="auto"/>
        <w:jc w:val="center"/>
        <w:rPr>
          <w:rFonts w:ascii="Times New Roman" w:eastAsia="Calibri" w:hAnsi="Times New Roman" w:cs="Times New Roman"/>
          <w:b/>
          <w:bCs/>
          <w:kern w:val="0"/>
          <w14:ligatures w14:val="none"/>
        </w:rPr>
      </w:pPr>
      <w:r w:rsidRPr="00821A84">
        <w:rPr>
          <w:rFonts w:ascii="Times New Roman" w:eastAsia="Calibri" w:hAnsi="Times New Roman" w:cs="Times New Roman"/>
          <w:b/>
          <w:bCs/>
          <w:kern w:val="0"/>
          <w14:ligatures w14:val="none"/>
        </w:rPr>
        <w:t>LIETUVOS RESPUBLIKOS ŠVIETIMO, MOKSLO IR SPORTO MINISTERIJA</w:t>
      </w:r>
    </w:p>
    <w:p w14:paraId="7DDCEEEF" w14:textId="77777777" w:rsidR="00821A84" w:rsidRPr="00821A84" w:rsidRDefault="00821A84" w:rsidP="00821A84">
      <w:pPr>
        <w:spacing w:after="0" w:line="240" w:lineRule="auto"/>
        <w:jc w:val="center"/>
        <w:rPr>
          <w:rFonts w:ascii="Times New Roman" w:eastAsia="Calibri" w:hAnsi="Times New Roman" w:cs="Times New Roman"/>
          <w:b/>
          <w:bCs/>
          <w:kern w:val="0"/>
          <w14:ligatures w14:val="none"/>
        </w:rPr>
      </w:pPr>
    </w:p>
    <w:p w14:paraId="2107E671" w14:textId="7F6624B0" w:rsidR="00821A84" w:rsidRPr="00821A84" w:rsidRDefault="00821A84" w:rsidP="00821A84">
      <w:pPr>
        <w:spacing w:after="0" w:line="240" w:lineRule="auto"/>
        <w:jc w:val="center"/>
        <w:rPr>
          <w:rFonts w:ascii="Times New Roman" w:eastAsia="Times New Roman" w:hAnsi="Times New Roman" w:cs="Times New Roman"/>
          <w:b/>
          <w:bCs/>
          <w:kern w:val="0"/>
          <w14:ligatures w14:val="none"/>
        </w:rPr>
      </w:pPr>
      <w:bookmarkStart w:id="0" w:name="_Hlk129179863"/>
      <w:r w:rsidRPr="00821A84">
        <w:rPr>
          <w:rFonts w:ascii="Times New Roman" w:eastAsia="Times New Roman" w:hAnsi="Times New Roman" w:cs="Times New Roman"/>
          <w:b/>
          <w:bCs/>
          <w:kern w:val="0"/>
          <w14:ligatures w14:val="none"/>
        </w:rPr>
        <w:t>2022–2030 M. PLĖTROS PROGRAMOS VALDYTOJOS LIETUVOS RESPUBLIKOS ŠVIETIMO, MOKSLO IR SPORTO MINISTERIJOS MOKSLO PLĖTROS PROGRAMOS PAŽANGOS PRIEMONĖS NR. 12-001-01-02-01 „STIPRINTI INOVACIJŲ EKOSISTEMAS MOKSLO CENTRUOSE“ PROJEKTŲ FINANSAVIMO SĄLYGŲ APRAŠ</w:t>
      </w:r>
      <w:r>
        <w:rPr>
          <w:rFonts w:ascii="Times New Roman" w:eastAsia="Times New Roman" w:hAnsi="Times New Roman" w:cs="Times New Roman"/>
          <w:b/>
          <w:bCs/>
          <w:kern w:val="0"/>
          <w14:ligatures w14:val="none"/>
        </w:rPr>
        <w:t>O</w:t>
      </w:r>
      <w:r w:rsidRPr="00821A84">
        <w:rPr>
          <w:rFonts w:ascii="Times New Roman" w:eastAsia="Times New Roman" w:hAnsi="Times New Roman" w:cs="Times New Roman"/>
          <w:b/>
          <w:bCs/>
          <w:kern w:val="0"/>
          <w14:ligatures w14:val="none"/>
        </w:rPr>
        <w:t xml:space="preserve"> NR. 12</w:t>
      </w:r>
    </w:p>
    <w:p w14:paraId="1FC74827" w14:textId="6BFE9786" w:rsidR="00821A84" w:rsidRPr="00821A84" w:rsidRDefault="00821A84" w:rsidP="00821A84">
      <w:pPr>
        <w:spacing w:after="0" w:line="240" w:lineRule="auto"/>
        <w:jc w:val="center"/>
        <w:rPr>
          <w:rFonts w:ascii="Times New Roman" w:eastAsia="Calibri" w:hAnsi="Times New Roman" w:cs="Times New Roman"/>
          <w:b/>
          <w:bCs/>
          <w:kern w:val="0"/>
          <w14:ligatures w14:val="none"/>
        </w:rPr>
      </w:pPr>
    </w:p>
    <w:p w14:paraId="3B27C76D" w14:textId="77777777" w:rsidR="00821A84" w:rsidRPr="00821A84" w:rsidRDefault="00821A84" w:rsidP="00821A84">
      <w:pPr>
        <w:spacing w:after="0" w:line="240" w:lineRule="auto"/>
        <w:jc w:val="center"/>
        <w:rPr>
          <w:rFonts w:ascii="Times New Roman" w:eastAsia="Calibri" w:hAnsi="Times New Roman" w:cs="Times New Roman"/>
          <w:b/>
          <w:bCs/>
          <w:kern w:val="0"/>
          <w14:ligatures w14:val="none"/>
        </w:rPr>
      </w:pPr>
      <w:r w:rsidRPr="00821A84">
        <w:rPr>
          <w:rFonts w:ascii="Times New Roman" w:eastAsia="Calibri" w:hAnsi="Times New Roman" w:cs="Times New Roman"/>
          <w:b/>
          <w:bCs/>
          <w:kern w:val="0"/>
          <w14:ligatures w14:val="none"/>
        </w:rPr>
        <w:t>PATEIKTŲ PASTABŲ IR PASIŪLYMŲ</w:t>
      </w:r>
    </w:p>
    <w:p w14:paraId="001A707A" w14:textId="77777777" w:rsidR="00821A84" w:rsidRPr="00821A84" w:rsidRDefault="00821A84" w:rsidP="00821A84">
      <w:pPr>
        <w:spacing w:after="0" w:line="240" w:lineRule="auto"/>
        <w:jc w:val="center"/>
        <w:rPr>
          <w:rFonts w:ascii="Times New Roman" w:eastAsia="Calibri" w:hAnsi="Times New Roman" w:cs="Times New Roman"/>
          <w:b/>
          <w:bCs/>
          <w:kern w:val="0"/>
          <w14:ligatures w14:val="none"/>
        </w:rPr>
      </w:pPr>
    </w:p>
    <w:p w14:paraId="11599D90" w14:textId="77777777" w:rsidR="00821A84" w:rsidRPr="00821A84" w:rsidRDefault="00821A84" w:rsidP="00821A84">
      <w:pPr>
        <w:spacing w:after="0" w:line="240" w:lineRule="auto"/>
        <w:jc w:val="center"/>
        <w:rPr>
          <w:rFonts w:ascii="Times New Roman" w:eastAsia="Calibri" w:hAnsi="Times New Roman" w:cs="Times New Roman"/>
          <w:b/>
          <w:bCs/>
          <w:kern w:val="0"/>
          <w14:ligatures w14:val="none"/>
        </w:rPr>
      </w:pPr>
      <w:r w:rsidRPr="00821A84">
        <w:rPr>
          <w:rFonts w:ascii="Times New Roman" w:eastAsia="Calibri" w:hAnsi="Times New Roman" w:cs="Times New Roman"/>
          <w:b/>
          <w:bCs/>
          <w:kern w:val="0"/>
          <w14:ligatures w14:val="none"/>
        </w:rPr>
        <w:t>DERINIMO</w:t>
      </w:r>
      <w:bookmarkEnd w:id="0"/>
      <w:r w:rsidRPr="00821A84">
        <w:rPr>
          <w:rFonts w:ascii="Times New Roman" w:eastAsia="Calibri" w:hAnsi="Times New Roman" w:cs="Times New Roman"/>
          <w:b/>
          <w:bCs/>
          <w:kern w:val="0"/>
          <w14:ligatures w14:val="none"/>
        </w:rPr>
        <w:t xml:space="preserve"> PAŽYMA</w:t>
      </w:r>
    </w:p>
    <w:p w14:paraId="35FE5B5B" w14:textId="77777777" w:rsidR="00821A84" w:rsidRPr="00821A84" w:rsidRDefault="00821A84" w:rsidP="00821A84">
      <w:pPr>
        <w:spacing w:after="0" w:line="240" w:lineRule="auto"/>
        <w:rPr>
          <w:rFonts w:ascii="Times New Roman" w:eastAsia="Times New Roman" w:hAnsi="Times New Roman" w:cs="Times New Roman"/>
          <w:b/>
          <w:bCs/>
          <w:kern w:val="0"/>
          <w14:ligatures w14:val="none"/>
        </w:rPr>
      </w:pPr>
    </w:p>
    <w:tbl>
      <w:tblPr>
        <w:tblStyle w:val="Lentelstinklelis1"/>
        <w:tblW w:w="15027" w:type="dxa"/>
        <w:tblInd w:w="-431" w:type="dxa"/>
        <w:tblLook w:val="04A0" w:firstRow="1" w:lastRow="0" w:firstColumn="1" w:lastColumn="0" w:noHBand="0" w:noVBand="1"/>
      </w:tblPr>
      <w:tblGrid>
        <w:gridCol w:w="12475"/>
        <w:gridCol w:w="2552"/>
      </w:tblGrid>
      <w:tr w:rsidR="00821A84" w:rsidRPr="00821A84" w14:paraId="0C0754B7" w14:textId="77777777" w:rsidTr="0060020F">
        <w:trPr>
          <w:trHeight w:val="561"/>
        </w:trPr>
        <w:tc>
          <w:tcPr>
            <w:tcW w:w="12475" w:type="dxa"/>
          </w:tcPr>
          <w:p w14:paraId="7A03832F" w14:textId="77777777" w:rsidR="00821A84" w:rsidRPr="00821A84" w:rsidRDefault="00821A84" w:rsidP="00821A84">
            <w:pPr>
              <w:rPr>
                <w:rFonts w:ascii="Times New Roman" w:eastAsia="Times New Roman" w:hAnsi="Times New Roman" w:cs="Times New Roman"/>
                <w:b/>
              </w:rPr>
            </w:pPr>
            <w:r w:rsidRPr="00821A84">
              <w:rPr>
                <w:rFonts w:ascii="Times New Roman" w:eastAsia="Times New Roman" w:hAnsi="Times New Roman" w:cs="Arial"/>
                <w:b/>
              </w:rPr>
              <w:t xml:space="preserve">Paskelbimo </w:t>
            </w:r>
            <w:r w:rsidRPr="00821A84">
              <w:rPr>
                <w:rFonts w:ascii="Times New Roman" w:eastAsia="Times New Roman" w:hAnsi="Times New Roman" w:cs="Arial"/>
                <w:i/>
                <w:iCs/>
              </w:rPr>
              <w:t>www.esinvesticijos.lt</w:t>
            </w:r>
            <w:r w:rsidRPr="00821A84">
              <w:rPr>
                <w:rFonts w:ascii="Times New Roman" w:eastAsia="Times New Roman" w:hAnsi="Times New Roman" w:cs="Arial"/>
              </w:rPr>
              <w:t xml:space="preserve"> </w:t>
            </w:r>
            <w:r w:rsidRPr="00821A84">
              <w:rPr>
                <w:rFonts w:ascii="Times New Roman" w:eastAsia="Times New Roman" w:hAnsi="Times New Roman" w:cs="Arial"/>
                <w:b/>
              </w:rPr>
              <w:t>data</w:t>
            </w:r>
          </w:p>
        </w:tc>
        <w:tc>
          <w:tcPr>
            <w:tcW w:w="2552" w:type="dxa"/>
          </w:tcPr>
          <w:p w14:paraId="73CC9F47" w14:textId="19F8C6E9" w:rsidR="00821A84" w:rsidRPr="00821A84" w:rsidRDefault="00821A84" w:rsidP="00821A84">
            <w:pPr>
              <w:rPr>
                <w:rFonts w:ascii="Times New Roman" w:eastAsia="Times New Roman" w:hAnsi="Times New Roman" w:cs="Times New Roman"/>
              </w:rPr>
            </w:pPr>
            <w:r w:rsidRPr="00821A84">
              <w:rPr>
                <w:rFonts w:ascii="Times New Roman" w:eastAsia="Times New Roman" w:hAnsi="Times New Roman" w:cs="Times New Roman"/>
              </w:rPr>
              <w:t>2025 m. gruodžio 23 d.</w:t>
            </w:r>
          </w:p>
        </w:tc>
      </w:tr>
      <w:tr w:rsidR="00821A84" w:rsidRPr="00821A84" w14:paraId="662F081F" w14:textId="77777777" w:rsidTr="0060020F">
        <w:tc>
          <w:tcPr>
            <w:tcW w:w="12475" w:type="dxa"/>
          </w:tcPr>
          <w:p w14:paraId="1049B5F1" w14:textId="77777777" w:rsidR="00821A84" w:rsidRPr="00821A84" w:rsidRDefault="00821A84" w:rsidP="00821A84">
            <w:pPr>
              <w:rPr>
                <w:rFonts w:ascii="Times New Roman" w:eastAsia="Times New Roman" w:hAnsi="Times New Roman" w:cs="Times New Roman"/>
                <w:b/>
              </w:rPr>
            </w:pPr>
            <w:r w:rsidRPr="00821A84">
              <w:rPr>
                <w:rFonts w:ascii="Times New Roman" w:eastAsia="Times New Roman" w:hAnsi="Times New Roman" w:cs="Arial"/>
                <w:b/>
              </w:rPr>
              <w:t>Ar gauta pastabų ir (ar) pasiūlymų?</w:t>
            </w:r>
          </w:p>
          <w:p w14:paraId="76D5A0A2" w14:textId="77777777" w:rsidR="00821A84" w:rsidRPr="00821A84" w:rsidRDefault="00821A84" w:rsidP="00821A84">
            <w:pPr>
              <w:rPr>
                <w:rFonts w:ascii="Times New Roman" w:eastAsia="Times New Roman" w:hAnsi="Times New Roman" w:cs="Times New Roman"/>
                <w:i/>
              </w:rPr>
            </w:pPr>
            <w:r w:rsidRPr="00821A84">
              <w:rPr>
                <w:rFonts w:ascii="Times New Roman" w:eastAsia="Times New Roman" w:hAnsi="Times New Roman" w:cs="Arial"/>
                <w:i/>
              </w:rPr>
              <w:t>Jei pastabų ir pasiūlymų nebuvo gauta, į kitą klausimą neatsakoma ir žemiau esanti lentelė nepildoma</w:t>
            </w:r>
          </w:p>
        </w:tc>
        <w:tc>
          <w:tcPr>
            <w:tcW w:w="2552" w:type="dxa"/>
          </w:tcPr>
          <w:p w14:paraId="7C806EFE" w14:textId="75653725" w:rsidR="00821A84" w:rsidRPr="00821A84" w:rsidRDefault="00000000" w:rsidP="00821A84">
            <w:pPr>
              <w:rPr>
                <w:rFonts w:ascii="Times New Roman" w:eastAsia="Times New Roman" w:hAnsi="Times New Roman" w:cs="Times New Roman"/>
              </w:rPr>
            </w:pPr>
            <w:sdt>
              <w:sdtPr>
                <w:rPr>
                  <w:rFonts w:ascii="Times New Roman" w:eastAsia="Times New Roman" w:hAnsi="Times New Roman" w:cs="Arial"/>
                </w:rPr>
                <w:id w:val="-1084605745"/>
              </w:sdtPr>
              <w:sdtContent>
                <w:r w:rsidR="00821A84" w:rsidRPr="00821A84">
                  <w:rPr>
                    <w:rFonts w:ascii="Times New Roman" w:eastAsia="Times New Roman" w:hAnsi="Times New Roman" w:cs="Times New Roman"/>
                    <w:szCs w:val="20"/>
                    <w:lang w:eastAsia="lt-LT"/>
                  </w:rPr>
                  <w:fldChar w:fldCharType="begin">
                    <w:ffData>
                      <w:name w:val="Check1"/>
                      <w:enabled/>
                      <w:calcOnExit w:val="0"/>
                      <w:checkBox>
                        <w:sizeAuto/>
                        <w:default w:val="1"/>
                      </w:checkBox>
                    </w:ffData>
                  </w:fldChar>
                </w:r>
                <w:r w:rsidR="00821A84" w:rsidRPr="00821A84">
                  <w:rPr>
                    <w:rFonts w:ascii="Times New Roman" w:eastAsia="Times New Roman" w:hAnsi="Times New Roman" w:cs="Times New Roman"/>
                    <w:sz w:val="24"/>
                    <w:szCs w:val="20"/>
                    <w:lang w:eastAsia="lt-LT"/>
                  </w:rPr>
                  <w:instrText xml:space="preserve"> FORMCHECKBOX </w:instrText>
                </w:r>
                <w:r w:rsidR="00821A84" w:rsidRPr="00821A84">
                  <w:rPr>
                    <w:rFonts w:ascii="Times New Roman" w:eastAsia="Times New Roman" w:hAnsi="Times New Roman" w:cs="Times New Roman"/>
                    <w:szCs w:val="20"/>
                    <w:lang w:eastAsia="lt-LT"/>
                  </w:rPr>
                </w:r>
                <w:r w:rsidR="00821A84" w:rsidRPr="00821A84">
                  <w:rPr>
                    <w:rFonts w:ascii="Times New Roman" w:eastAsia="Times New Roman" w:hAnsi="Times New Roman" w:cs="Times New Roman"/>
                    <w:szCs w:val="20"/>
                    <w:lang w:eastAsia="lt-LT"/>
                  </w:rPr>
                  <w:fldChar w:fldCharType="separate"/>
                </w:r>
                <w:r w:rsidR="00821A84" w:rsidRPr="00821A84">
                  <w:rPr>
                    <w:rFonts w:ascii="Times New Roman" w:eastAsia="Times New Roman" w:hAnsi="Times New Roman" w:cs="Times New Roman"/>
                    <w:szCs w:val="20"/>
                    <w:lang w:eastAsia="lt-LT"/>
                  </w:rPr>
                  <w:fldChar w:fldCharType="end"/>
                </w:r>
              </w:sdtContent>
            </w:sdt>
            <w:r w:rsidR="00821A84" w:rsidRPr="00821A84">
              <w:rPr>
                <w:rFonts w:ascii="Times New Roman" w:eastAsia="Times New Roman" w:hAnsi="Times New Roman" w:cs="Arial"/>
              </w:rPr>
              <w:t xml:space="preserve"> Taip </w:t>
            </w:r>
            <w:sdt>
              <w:sdtPr>
                <w:rPr>
                  <w:rFonts w:ascii="Times New Roman" w:eastAsia="Times New Roman" w:hAnsi="Times New Roman" w:cs="Arial"/>
                </w:rPr>
                <w:id w:val="1508407728"/>
              </w:sdtPr>
              <w:sdtContent>
                <w:bookmarkStart w:id="1" w:name="Check1"/>
                <w:r w:rsidR="00821A84" w:rsidRPr="00821A84">
                  <w:rPr>
                    <w:rFonts w:ascii="Times New Roman" w:eastAsia="Times New Roman" w:hAnsi="Times New Roman" w:cs="Times New Roman"/>
                  </w:rPr>
                  <w:fldChar w:fldCharType="begin">
                    <w:ffData>
                      <w:name w:val="Check1"/>
                      <w:enabled/>
                      <w:calcOnExit w:val="0"/>
                      <w:checkBox>
                        <w:sizeAuto/>
                        <w:default w:val="0"/>
                      </w:checkBox>
                    </w:ffData>
                  </w:fldChar>
                </w:r>
                <w:r w:rsidR="00821A84" w:rsidRPr="00821A84">
                  <w:rPr>
                    <w:rFonts w:ascii="Times New Roman" w:eastAsia="Times New Roman" w:hAnsi="Times New Roman" w:cs="Arial"/>
                  </w:rPr>
                  <w:instrText xml:space="preserve"> FORMCHECKBOX </w:instrText>
                </w:r>
                <w:r w:rsidR="00821A84" w:rsidRPr="00821A84">
                  <w:rPr>
                    <w:rFonts w:ascii="Times New Roman" w:eastAsia="Times New Roman" w:hAnsi="Times New Roman" w:cs="Arial"/>
                  </w:rPr>
                </w:r>
                <w:r w:rsidR="00821A84" w:rsidRPr="00821A84">
                  <w:rPr>
                    <w:rFonts w:ascii="Times New Roman" w:eastAsia="Times New Roman" w:hAnsi="Times New Roman" w:cs="Arial"/>
                  </w:rPr>
                  <w:fldChar w:fldCharType="separate"/>
                </w:r>
                <w:r w:rsidR="00821A84" w:rsidRPr="00821A84">
                  <w:rPr>
                    <w:rFonts w:ascii="Times New Roman" w:eastAsia="Times New Roman" w:hAnsi="Times New Roman" w:cs="Times New Roman"/>
                  </w:rPr>
                  <w:fldChar w:fldCharType="end"/>
                </w:r>
                <w:bookmarkEnd w:id="1"/>
              </w:sdtContent>
            </w:sdt>
            <w:r w:rsidR="00821A84" w:rsidRPr="00821A84">
              <w:rPr>
                <w:rFonts w:ascii="Times New Roman" w:eastAsia="Times New Roman" w:hAnsi="Times New Roman" w:cs="Arial"/>
              </w:rPr>
              <w:t xml:space="preserve"> Ne</w:t>
            </w:r>
          </w:p>
        </w:tc>
      </w:tr>
      <w:tr w:rsidR="00821A84" w:rsidRPr="00821A84" w14:paraId="09B280B3" w14:textId="77777777" w:rsidTr="0060020F">
        <w:tc>
          <w:tcPr>
            <w:tcW w:w="12475" w:type="dxa"/>
          </w:tcPr>
          <w:p w14:paraId="35578539" w14:textId="77777777" w:rsidR="00821A84" w:rsidRPr="00821A84" w:rsidRDefault="00821A84" w:rsidP="00821A84">
            <w:pPr>
              <w:rPr>
                <w:rFonts w:ascii="Times New Roman" w:eastAsia="Times New Roman" w:hAnsi="Times New Roman" w:cs="Times New Roman"/>
                <w:b/>
              </w:rPr>
            </w:pPr>
            <w:r w:rsidRPr="00821A84">
              <w:rPr>
                <w:rFonts w:ascii="Times New Roman" w:eastAsia="Times New Roman" w:hAnsi="Times New Roman" w:cs="Arial"/>
                <w:b/>
              </w:rPr>
              <w:t>Ar į visas pastabas ir (ar) pasiūlymus atsižvelgta?</w:t>
            </w:r>
          </w:p>
          <w:p w14:paraId="799EAE20" w14:textId="77777777" w:rsidR="00821A84" w:rsidRPr="00821A84" w:rsidRDefault="00821A84" w:rsidP="00821A84">
            <w:pPr>
              <w:rPr>
                <w:rFonts w:ascii="Times New Roman" w:eastAsia="Times New Roman" w:hAnsi="Times New Roman" w:cs="Times New Roman"/>
                <w:i/>
              </w:rPr>
            </w:pPr>
            <w:r w:rsidRPr="00821A84">
              <w:rPr>
                <w:rFonts w:ascii="Times New Roman" w:eastAsia="Times New Roman" w:hAnsi="Times New Roman" w:cs="Arial"/>
                <w:i/>
              </w:rPr>
              <w:t>Žemiau esančioje lentelėje nurodomos gautos pastabos ir (ar) pasiūlymai, pažymima, į kurias pastabas ir (ar) pasiūlymus atsižvelgta, o dėl pastabų ir (ar) pasiūlymų, į kuriuos neatsižvelgta, pateikiami paaiškinimai. </w:t>
            </w:r>
          </w:p>
        </w:tc>
        <w:tc>
          <w:tcPr>
            <w:tcW w:w="2552" w:type="dxa"/>
          </w:tcPr>
          <w:p w14:paraId="578AFA55" w14:textId="46DD82A1" w:rsidR="00821A84" w:rsidRPr="00821A84" w:rsidRDefault="00000000" w:rsidP="00821A84">
            <w:pPr>
              <w:rPr>
                <w:rFonts w:ascii="Times New Roman" w:eastAsia="Times New Roman" w:hAnsi="Times New Roman" w:cs="Times New Roman"/>
              </w:rPr>
            </w:pPr>
            <w:sdt>
              <w:sdtPr>
                <w:rPr>
                  <w:rFonts w:ascii="Times New Roman" w:eastAsia="Times New Roman" w:hAnsi="Times New Roman" w:cs="Arial"/>
                </w:rPr>
                <w:id w:val="-167556001"/>
              </w:sdtPr>
              <w:sdtContent>
                <w:r w:rsidR="00821A84" w:rsidRPr="00821A84">
                  <w:rPr>
                    <w:rFonts w:ascii="Times New Roman" w:eastAsia="Times New Roman" w:hAnsi="Times New Roman" w:cs="Times New Roman"/>
                    <w:b/>
                  </w:rPr>
                  <w:fldChar w:fldCharType="begin">
                    <w:ffData>
                      <w:name w:val=""/>
                      <w:enabled/>
                      <w:calcOnExit w:val="0"/>
                      <w:checkBox>
                        <w:sizeAuto/>
                        <w:default w:val="0"/>
                      </w:checkBox>
                    </w:ffData>
                  </w:fldChar>
                </w:r>
                <w:r w:rsidR="00821A84" w:rsidRPr="00821A84">
                  <w:rPr>
                    <w:rFonts w:ascii="Times New Roman" w:eastAsia="Times New Roman" w:hAnsi="Times New Roman" w:cs="Arial"/>
                    <w:b/>
                  </w:rPr>
                  <w:instrText xml:space="preserve"> FORMCHECKBOX </w:instrText>
                </w:r>
                <w:r w:rsidR="00821A84" w:rsidRPr="00821A84">
                  <w:rPr>
                    <w:rFonts w:ascii="Times New Roman" w:eastAsia="Times New Roman" w:hAnsi="Times New Roman" w:cs="Arial"/>
                    <w:b/>
                  </w:rPr>
                </w:r>
                <w:r w:rsidR="00821A84" w:rsidRPr="00821A84">
                  <w:rPr>
                    <w:rFonts w:ascii="Times New Roman" w:eastAsia="Times New Roman" w:hAnsi="Times New Roman" w:cs="Arial"/>
                    <w:b/>
                  </w:rPr>
                  <w:fldChar w:fldCharType="separate"/>
                </w:r>
                <w:r w:rsidR="00821A84" w:rsidRPr="00821A84">
                  <w:rPr>
                    <w:rFonts w:ascii="Times New Roman" w:eastAsia="Times New Roman" w:hAnsi="Times New Roman" w:cs="Times New Roman"/>
                    <w:b/>
                  </w:rPr>
                  <w:fldChar w:fldCharType="end"/>
                </w:r>
              </w:sdtContent>
            </w:sdt>
            <w:r w:rsidR="00821A84" w:rsidRPr="00821A84">
              <w:rPr>
                <w:rFonts w:ascii="Times New Roman" w:eastAsia="Times New Roman" w:hAnsi="Times New Roman" w:cs="Arial"/>
              </w:rPr>
              <w:t xml:space="preserve"> Taip </w:t>
            </w:r>
            <w:sdt>
              <w:sdtPr>
                <w:rPr>
                  <w:rFonts w:ascii="Times New Roman" w:eastAsia="Times New Roman" w:hAnsi="Times New Roman" w:cs="Arial"/>
                </w:rPr>
                <w:id w:val="-420031067"/>
              </w:sdtPr>
              <w:sdtContent/>
            </w:sdt>
            <w:sdt>
              <w:sdtPr>
                <w:rPr>
                  <w:rFonts w:ascii="Times New Roman" w:eastAsia="Times New Roman" w:hAnsi="Times New Roman" w:cs="Arial"/>
                </w:rPr>
                <w:id w:val="560294101"/>
              </w:sdtPr>
              <w:sdtContent>
                <w:sdt>
                  <w:sdtPr>
                    <w:rPr>
                      <w:rFonts w:ascii="Times New Roman" w:eastAsia="Times New Roman" w:hAnsi="Times New Roman" w:cs="Arial"/>
                    </w:rPr>
                    <w:id w:val="-2009505890"/>
                  </w:sdtPr>
                  <w:sdtContent>
                    <w:r w:rsidR="00821A84" w:rsidRPr="00821A84">
                      <w:rPr>
                        <w:rFonts w:ascii="Times New Roman" w:eastAsia="Times New Roman" w:hAnsi="Times New Roman" w:cs="Times New Roman"/>
                        <w:szCs w:val="20"/>
                        <w:lang w:eastAsia="lt-LT"/>
                      </w:rPr>
                      <w:fldChar w:fldCharType="begin">
                        <w:ffData>
                          <w:name w:val="Check1"/>
                          <w:enabled/>
                          <w:calcOnExit w:val="0"/>
                          <w:checkBox>
                            <w:sizeAuto/>
                            <w:default w:val="1"/>
                          </w:checkBox>
                        </w:ffData>
                      </w:fldChar>
                    </w:r>
                    <w:r w:rsidR="00821A84" w:rsidRPr="00821A84">
                      <w:rPr>
                        <w:rFonts w:ascii="Times New Roman" w:eastAsia="Times New Roman" w:hAnsi="Times New Roman" w:cs="Times New Roman"/>
                        <w:sz w:val="24"/>
                        <w:szCs w:val="20"/>
                        <w:lang w:eastAsia="lt-LT"/>
                      </w:rPr>
                      <w:instrText xml:space="preserve"> FORMCHECKBOX </w:instrText>
                    </w:r>
                    <w:r w:rsidR="00821A84" w:rsidRPr="00821A84">
                      <w:rPr>
                        <w:rFonts w:ascii="Times New Roman" w:eastAsia="Times New Roman" w:hAnsi="Times New Roman" w:cs="Times New Roman"/>
                        <w:szCs w:val="20"/>
                        <w:lang w:eastAsia="lt-LT"/>
                      </w:rPr>
                    </w:r>
                    <w:r w:rsidR="00821A84" w:rsidRPr="00821A84">
                      <w:rPr>
                        <w:rFonts w:ascii="Times New Roman" w:eastAsia="Times New Roman" w:hAnsi="Times New Roman" w:cs="Times New Roman"/>
                        <w:szCs w:val="20"/>
                        <w:lang w:eastAsia="lt-LT"/>
                      </w:rPr>
                      <w:fldChar w:fldCharType="separate"/>
                    </w:r>
                    <w:r w:rsidR="00821A84" w:rsidRPr="00821A84">
                      <w:rPr>
                        <w:rFonts w:ascii="Times New Roman" w:eastAsia="Times New Roman" w:hAnsi="Times New Roman" w:cs="Times New Roman"/>
                        <w:szCs w:val="20"/>
                        <w:lang w:eastAsia="lt-LT"/>
                      </w:rPr>
                      <w:fldChar w:fldCharType="end"/>
                    </w:r>
                  </w:sdtContent>
                </w:sdt>
              </w:sdtContent>
            </w:sdt>
            <w:r w:rsidR="00821A84" w:rsidRPr="00821A84">
              <w:rPr>
                <w:rFonts w:ascii="Times New Roman" w:eastAsia="Times New Roman" w:hAnsi="Times New Roman" w:cs="Arial"/>
              </w:rPr>
              <w:t xml:space="preserve"> Ne</w:t>
            </w:r>
          </w:p>
        </w:tc>
      </w:tr>
    </w:tbl>
    <w:p w14:paraId="20000322" w14:textId="77777777" w:rsidR="00821A84" w:rsidRPr="00821A84" w:rsidRDefault="00821A84" w:rsidP="00821A84">
      <w:pPr>
        <w:spacing w:after="0" w:line="240" w:lineRule="auto"/>
        <w:rPr>
          <w:rFonts w:ascii="Times New Roman" w:eastAsia="Times New Roman" w:hAnsi="Times New Roman" w:cs="Times New Roman"/>
          <w:kern w:val="0"/>
          <w14:ligatures w14:val="none"/>
        </w:rPr>
      </w:pPr>
    </w:p>
    <w:tbl>
      <w:tblPr>
        <w:tblStyle w:val="Lentelstinklelis1"/>
        <w:tblW w:w="15055" w:type="dxa"/>
        <w:jc w:val="center"/>
        <w:tblLook w:val="04A0" w:firstRow="1" w:lastRow="0" w:firstColumn="1" w:lastColumn="0" w:noHBand="0" w:noVBand="1"/>
      </w:tblPr>
      <w:tblGrid>
        <w:gridCol w:w="988"/>
        <w:gridCol w:w="1658"/>
        <w:gridCol w:w="7839"/>
        <w:gridCol w:w="4570"/>
      </w:tblGrid>
      <w:tr w:rsidR="00821A84" w:rsidRPr="00821A84" w14:paraId="74DFD382" w14:textId="77777777" w:rsidTr="008C2A94">
        <w:trPr>
          <w:jc w:val="center"/>
        </w:trPr>
        <w:tc>
          <w:tcPr>
            <w:tcW w:w="988" w:type="dxa"/>
            <w:vAlign w:val="center"/>
          </w:tcPr>
          <w:p w14:paraId="3B84FA5B" w14:textId="77777777" w:rsidR="00821A84" w:rsidRPr="00821A84" w:rsidRDefault="00821A84" w:rsidP="00821A84">
            <w:pPr>
              <w:jc w:val="center"/>
              <w:rPr>
                <w:rFonts w:ascii="Times New Roman" w:eastAsia="Times New Roman" w:hAnsi="Times New Roman" w:cs="Times New Roman"/>
                <w:b/>
                <w:bCs/>
              </w:rPr>
            </w:pPr>
            <w:r w:rsidRPr="00821A84">
              <w:rPr>
                <w:rFonts w:ascii="Times New Roman" w:eastAsia="Times New Roman" w:hAnsi="Times New Roman" w:cs="Arial"/>
                <w:b/>
                <w:bCs/>
              </w:rPr>
              <w:t>Eil. Nr.</w:t>
            </w:r>
          </w:p>
        </w:tc>
        <w:tc>
          <w:tcPr>
            <w:tcW w:w="1658" w:type="dxa"/>
            <w:vAlign w:val="center"/>
          </w:tcPr>
          <w:p w14:paraId="77854813" w14:textId="3BA2EF2E" w:rsidR="00821A84" w:rsidRPr="00821A84" w:rsidRDefault="00215127" w:rsidP="00821A84">
            <w:pPr>
              <w:jc w:val="center"/>
              <w:rPr>
                <w:rFonts w:ascii="Times New Roman" w:eastAsia="Times New Roman" w:hAnsi="Times New Roman" w:cs="Times New Roman"/>
                <w:b/>
                <w:bCs/>
              </w:rPr>
            </w:pPr>
            <w:r>
              <w:rPr>
                <w:rFonts w:ascii="Times New Roman" w:eastAsia="Times New Roman" w:hAnsi="Times New Roman" w:cs="Times New Roman"/>
                <w:b/>
                <w:bCs/>
              </w:rPr>
              <w:t>Institucija</w:t>
            </w:r>
          </w:p>
        </w:tc>
        <w:tc>
          <w:tcPr>
            <w:tcW w:w="7839" w:type="dxa"/>
            <w:vAlign w:val="center"/>
          </w:tcPr>
          <w:p w14:paraId="4F2B0AFF" w14:textId="77777777" w:rsidR="00821A84" w:rsidRPr="00821A84" w:rsidRDefault="00821A84" w:rsidP="00821A84">
            <w:pPr>
              <w:jc w:val="center"/>
              <w:rPr>
                <w:rFonts w:ascii="Times New Roman" w:eastAsia="Times New Roman" w:hAnsi="Times New Roman" w:cs="Times New Roman"/>
                <w:b/>
                <w:bCs/>
              </w:rPr>
            </w:pPr>
            <w:r w:rsidRPr="00821A84">
              <w:rPr>
                <w:rFonts w:ascii="Times New Roman" w:eastAsia="Times New Roman" w:hAnsi="Times New Roman" w:cs="Arial"/>
                <w:b/>
                <w:bCs/>
              </w:rPr>
              <w:t>Pastabos ir pasiūlymai</w:t>
            </w:r>
          </w:p>
        </w:tc>
        <w:tc>
          <w:tcPr>
            <w:tcW w:w="4570" w:type="dxa"/>
            <w:vAlign w:val="center"/>
          </w:tcPr>
          <w:p w14:paraId="4151A97C" w14:textId="77777777" w:rsidR="00821A84" w:rsidRPr="00821A84" w:rsidRDefault="00821A84" w:rsidP="00821A84">
            <w:pPr>
              <w:jc w:val="center"/>
              <w:rPr>
                <w:rFonts w:ascii="Times New Roman" w:eastAsia="Times New Roman" w:hAnsi="Times New Roman" w:cs="Times New Roman"/>
                <w:b/>
                <w:bCs/>
              </w:rPr>
            </w:pPr>
            <w:r w:rsidRPr="00821A84">
              <w:rPr>
                <w:rFonts w:ascii="Times New Roman" w:eastAsia="Times New Roman" w:hAnsi="Times New Roman" w:cs="Arial"/>
                <w:b/>
                <w:bCs/>
              </w:rPr>
              <w:t>Pastabų ir pasiūlymų vertinimas ir (jei taikoma) argumentai, kodėl neatsižvelgta į pastabas ar pasiūlymus</w:t>
            </w:r>
          </w:p>
        </w:tc>
      </w:tr>
      <w:tr w:rsidR="00215127" w:rsidRPr="00821A84" w14:paraId="30C4D3D4" w14:textId="77777777" w:rsidTr="008C2A94">
        <w:trPr>
          <w:jc w:val="center"/>
        </w:trPr>
        <w:tc>
          <w:tcPr>
            <w:tcW w:w="988" w:type="dxa"/>
          </w:tcPr>
          <w:p w14:paraId="49C21DC8" w14:textId="01390CA3" w:rsidR="00215127" w:rsidRPr="00821A84" w:rsidRDefault="00DE5062" w:rsidP="00821A84">
            <w:pPr>
              <w:jc w:val="center"/>
              <w:rPr>
                <w:rFonts w:ascii="Times New Roman" w:eastAsia="Times New Roman" w:hAnsi="Times New Roman" w:cs="Times New Roman"/>
                <w:b/>
                <w:bCs/>
                <w:lang w:val="en-GB"/>
              </w:rPr>
            </w:pPr>
            <w:bookmarkStart w:id="2" w:name="_Hlk204158872"/>
            <w:r>
              <w:rPr>
                <w:rFonts w:ascii="Times New Roman" w:eastAsia="Times New Roman" w:hAnsi="Times New Roman" w:cs="Times New Roman"/>
                <w:b/>
                <w:bCs/>
                <w:lang w:val="en-GB"/>
              </w:rPr>
              <w:t>1.</w:t>
            </w:r>
          </w:p>
        </w:tc>
        <w:tc>
          <w:tcPr>
            <w:tcW w:w="1658" w:type="dxa"/>
            <w:vMerge w:val="restart"/>
          </w:tcPr>
          <w:p w14:paraId="36FD6FBA" w14:textId="7F64D695" w:rsidR="00215127" w:rsidRPr="00DE5062" w:rsidRDefault="00215127" w:rsidP="00821A84">
            <w:pPr>
              <w:jc w:val="center"/>
              <w:rPr>
                <w:rFonts w:ascii="Times New Roman" w:eastAsia="Times New Roman" w:hAnsi="Times New Roman" w:cs="Times New Roman"/>
              </w:rPr>
            </w:pPr>
            <w:r w:rsidRPr="00DE5062">
              <w:rPr>
                <w:rFonts w:ascii="Times New Roman" w:eastAsia="Times New Roman" w:hAnsi="Times New Roman" w:cs="Times New Roman"/>
              </w:rPr>
              <w:t>Lietuvos mokslo taryba (</w:t>
            </w:r>
            <w:r w:rsidR="00427900" w:rsidRPr="00DE5062">
              <w:rPr>
                <w:rFonts w:ascii="Times New Roman" w:eastAsia="Times New Roman" w:hAnsi="Times New Roman" w:cs="Times New Roman"/>
              </w:rPr>
              <w:t xml:space="preserve">2026-01-09 raštu </w:t>
            </w:r>
            <w:r w:rsidR="00CF3A34" w:rsidRPr="00DE5062">
              <w:rPr>
                <w:rFonts w:ascii="Times New Roman" w:eastAsia="Times New Roman" w:hAnsi="Times New Roman" w:cs="Times New Roman"/>
              </w:rPr>
              <w:t>Nr. 4S-15)</w:t>
            </w:r>
          </w:p>
        </w:tc>
        <w:tc>
          <w:tcPr>
            <w:tcW w:w="7839" w:type="dxa"/>
          </w:tcPr>
          <w:p w14:paraId="2C7FFB18" w14:textId="77777777" w:rsidR="007506AB" w:rsidRPr="007506AB" w:rsidRDefault="007506AB" w:rsidP="007506AB">
            <w:pPr>
              <w:tabs>
                <w:tab w:val="left" w:pos="993"/>
              </w:tabs>
              <w:spacing w:line="276" w:lineRule="auto"/>
              <w:contextualSpacing/>
              <w:jc w:val="both"/>
              <w:rPr>
                <w:rFonts w:ascii="Times New Roman" w:eastAsia="Times New Roman" w:hAnsi="Times New Roman" w:cs="Times New Roman"/>
              </w:rPr>
            </w:pPr>
            <w:r w:rsidRPr="007506AB">
              <w:rPr>
                <w:rFonts w:ascii="Times New Roman" w:eastAsia="Times New Roman" w:hAnsi="Times New Roman" w:cs="Times New Roman"/>
              </w:rPr>
              <w:t xml:space="preserve">Dėl Projekto I skyriaus dalyje “2. Veiklos ar </w:t>
            </w:r>
            <w:proofErr w:type="spellStart"/>
            <w:r w:rsidRPr="007506AB">
              <w:rPr>
                <w:rFonts w:ascii="Times New Roman" w:eastAsia="Times New Roman" w:hAnsi="Times New Roman" w:cs="Times New Roman"/>
              </w:rPr>
              <w:t>poveiklės</w:t>
            </w:r>
            <w:proofErr w:type="spellEnd"/>
            <w:r w:rsidRPr="007506AB">
              <w:rPr>
                <w:rFonts w:ascii="Times New Roman" w:eastAsia="Times New Roman" w:hAnsi="Times New Roman" w:cs="Times New Roman"/>
              </w:rPr>
              <w:t xml:space="preserve"> rodikliai” nustatyto naujo rodiklio – „nefinansinę paramą gavusios įmonės“: 90 Sostinės regione ir 50 Vidurio ir vakarų regione:</w:t>
            </w:r>
          </w:p>
          <w:p w14:paraId="44D097E4" w14:textId="77777777" w:rsidR="007506AB" w:rsidRPr="007506AB" w:rsidRDefault="007506AB" w:rsidP="007506AB">
            <w:pPr>
              <w:tabs>
                <w:tab w:val="left" w:pos="0"/>
              </w:tabs>
              <w:spacing w:line="276" w:lineRule="auto"/>
              <w:jc w:val="both"/>
              <w:rPr>
                <w:rFonts w:ascii="Times New Roman" w:eastAsia="Times New Roman" w:hAnsi="Times New Roman" w:cs="Times New Roman"/>
              </w:rPr>
            </w:pPr>
            <w:r w:rsidRPr="007506AB">
              <w:rPr>
                <w:rFonts w:ascii="Times New Roman" w:eastAsia="Times New Roman" w:hAnsi="Times New Roman" w:cs="Times New Roman"/>
              </w:rPr>
              <w:tab/>
              <w:t xml:space="preserve">Atkreipiame dėmesį, kad aprašomojoje dalyje nefinansinė parama ir su ja susijusi veikla yra daugiau neminima: nėra detalizuota, kas yra nefinansinė parama, kokia nefinansinė parama yra numatoma ir (ar) tinkama, kokiu būdu ir kokiomis veiklomis ji turėtų būti teikiama, kas ją turėtų teikti, neapibrėžtas jos tikslas. LMT vertinimu, neužtenka tiesiog įrašyti rodiklį. Prašome aiškiai ir nedviprasmiškai nustatyti, ko yra siekiama rodikliu, kokios veiklos yra tinkamos rodikliui pasiekti, kaip rodiklis turi būti fiksuojamas ir vertinamas. </w:t>
            </w:r>
          </w:p>
          <w:p w14:paraId="115FED4F" w14:textId="77777777" w:rsidR="007506AB" w:rsidRPr="007506AB" w:rsidRDefault="007506AB" w:rsidP="007506AB">
            <w:pPr>
              <w:spacing w:line="276" w:lineRule="auto"/>
              <w:ind w:firstLine="720"/>
              <w:jc w:val="both"/>
              <w:rPr>
                <w:rFonts w:ascii="Times New Roman" w:eastAsia="Times New Roman" w:hAnsi="Times New Roman" w:cs="Times New Roman"/>
                <w:lang w:eastAsia="en-GB"/>
              </w:rPr>
            </w:pPr>
            <w:r w:rsidRPr="007506AB">
              <w:rPr>
                <w:rFonts w:ascii="Times New Roman" w:eastAsia="Times New Roman" w:hAnsi="Times New Roman" w:cs="Times New Roman"/>
              </w:rPr>
              <w:lastRenderedPageBreak/>
              <w:t>Pastebėtina, kad Projektu yra sumažinamas kvietimų skaičius ir skirtas biudžetas. Nustatoma, kad iš viso skelbiami keturi kvietimai (vietoje penkių) teikti projekto įgyvendinimo planus (toliau – PĮP). Šiuo metu Pirmasis LMT teiktas PĮP yra patvirtintas ir projektas yra įgyvendinamas. Rodiklis “Nefinansinę paramą gavusios įmonės” šiuo projektu nėra siekiamas. Vadovaujantis Centrinės projektų valdymo agentūros (toliau – CPVA) paskelbtu kvietimu, antrojo PĮP pateikimo terminas – vasario 13 d. ir šiame kvietime Projektu planuojamas rodiklis nėra nustatytas. LMT projekto partnerių atranką yra įvykdžiusi ir yra pasiruošusi teikti PĮP.</w:t>
            </w:r>
          </w:p>
          <w:p w14:paraId="281F9D42" w14:textId="77777777" w:rsidR="007506AB" w:rsidRPr="007506AB" w:rsidRDefault="007506AB" w:rsidP="007506AB">
            <w:pPr>
              <w:spacing w:line="276" w:lineRule="auto"/>
              <w:ind w:firstLine="709"/>
              <w:jc w:val="both"/>
              <w:rPr>
                <w:rFonts w:ascii="Times New Roman" w:eastAsia="Times New Roman" w:hAnsi="Times New Roman" w:cs="Times New Roman"/>
                <w:lang w:eastAsia="en-GB"/>
              </w:rPr>
            </w:pPr>
            <w:r w:rsidRPr="007506AB">
              <w:rPr>
                <w:rFonts w:ascii="Times New Roman" w:eastAsia="Times New Roman" w:hAnsi="Times New Roman" w:cs="Times New Roman"/>
              </w:rPr>
              <w:t>Vadovaujantis Konstitucinio Teismo suformuota teisinio tikrumo ir teisėtų lūkesčių apsaugos doktrina, teisės aktai ir jų pakeitimai neturi grįžtamosios galios ir taikomi tik nuo jų įsigaliojimo dienos.</w:t>
            </w:r>
            <w:r w:rsidRPr="007506AB">
              <w:rPr>
                <w:rFonts w:ascii="Segoe UI" w:eastAsia="Segoe UI" w:hAnsi="Segoe UI" w:cs="Segoe UI"/>
                <w:color w:val="333333"/>
                <w:sz w:val="18"/>
                <w:szCs w:val="18"/>
              </w:rPr>
              <w:t xml:space="preserve"> </w:t>
            </w:r>
            <w:r w:rsidRPr="007506AB">
              <w:rPr>
                <w:rFonts w:ascii="Times New Roman" w:eastAsia="Times New Roman" w:hAnsi="Times New Roman" w:cs="Times New Roman"/>
              </w:rPr>
              <w:t xml:space="preserve">Atsižvelgiant į tai, kad vieną PĮP LMT teikia vidutiniškai su 40 partnerių, o nepaskelbtų kvietimų liko tik du, vertiname, kad </w:t>
            </w:r>
            <w:r w:rsidRPr="007506AB">
              <w:rPr>
                <w:rFonts w:ascii="Times New Roman" w:eastAsia="Times New Roman" w:hAnsi="Times New Roman" w:cs="Times New Roman"/>
                <w:lang w:eastAsia="en-GB"/>
              </w:rPr>
              <w:t>nefinansinės paramos (kad ir kokios apimties veikla tai būtų) suteikimas 140 įmonių per būsimus du kvietimus yra objektyviai nepasiekiamas rodiklis, nes tiek partnerių LMT per šiuos kvietimus neturės, todėl nesutinkame, kad toks rodiklis būtų nustatytas.</w:t>
            </w:r>
          </w:p>
          <w:p w14:paraId="5FE0B13C" w14:textId="77777777" w:rsidR="007506AB" w:rsidRPr="007506AB" w:rsidRDefault="007506AB" w:rsidP="007506AB">
            <w:pPr>
              <w:spacing w:line="276" w:lineRule="auto"/>
              <w:ind w:firstLine="709"/>
              <w:jc w:val="both"/>
              <w:rPr>
                <w:rFonts w:ascii="Times New Roman" w:eastAsia="Times New Roman" w:hAnsi="Times New Roman" w:cs="Times New Roman"/>
                <w:lang w:eastAsia="en-GB"/>
              </w:rPr>
            </w:pPr>
            <w:r w:rsidRPr="007506AB">
              <w:rPr>
                <w:rFonts w:ascii="Times New Roman" w:eastAsia="Times New Roman" w:hAnsi="Times New Roman" w:cs="Times New Roman"/>
                <w:lang w:eastAsia="en-GB"/>
              </w:rPr>
              <w:t xml:space="preserve">LMT tinkamos veiklos yra nustatytos PFSA 5.1.1.3 p.: “Mokslo vadybos ir žinių </w:t>
            </w:r>
            <w:proofErr w:type="spellStart"/>
            <w:r w:rsidRPr="007506AB">
              <w:rPr>
                <w:rFonts w:ascii="Times New Roman" w:eastAsia="Times New Roman" w:hAnsi="Times New Roman" w:cs="Times New Roman"/>
                <w:lang w:eastAsia="en-GB"/>
              </w:rPr>
              <w:t>komercinimo</w:t>
            </w:r>
            <w:proofErr w:type="spellEnd"/>
            <w:r w:rsidRPr="007506AB">
              <w:rPr>
                <w:rFonts w:ascii="Times New Roman" w:eastAsia="Times New Roman" w:hAnsi="Times New Roman" w:cs="Times New Roman"/>
                <w:lang w:eastAsia="en-GB"/>
              </w:rPr>
              <w:t xml:space="preserve"> pajėgumų diegimas MSI, taikant vieno langelio principą (tematiniai periodiniai susitikimai, gerosios patirties dalinimasis) ir kitos veiklos, užtikrinančios efektyvų mokslo vadybos ir žinių </w:t>
            </w:r>
            <w:proofErr w:type="spellStart"/>
            <w:r w:rsidRPr="007506AB">
              <w:rPr>
                <w:rFonts w:ascii="Times New Roman" w:eastAsia="Times New Roman" w:hAnsi="Times New Roman" w:cs="Times New Roman"/>
                <w:lang w:eastAsia="en-GB"/>
              </w:rPr>
              <w:t>komercinimo</w:t>
            </w:r>
            <w:proofErr w:type="spellEnd"/>
            <w:r w:rsidRPr="007506AB">
              <w:rPr>
                <w:rFonts w:ascii="Times New Roman" w:eastAsia="Times New Roman" w:hAnsi="Times New Roman" w:cs="Times New Roman"/>
                <w:lang w:eastAsia="en-GB"/>
              </w:rPr>
              <w:t xml:space="preserve"> gebėjimų MSI stiprinimą ir </w:t>
            </w:r>
            <w:proofErr w:type="spellStart"/>
            <w:r w:rsidRPr="007506AB">
              <w:rPr>
                <w:rFonts w:ascii="Times New Roman" w:eastAsia="Times New Roman" w:hAnsi="Times New Roman" w:cs="Times New Roman"/>
                <w:lang w:eastAsia="en-GB"/>
              </w:rPr>
              <w:t>atžalinių</w:t>
            </w:r>
            <w:proofErr w:type="spellEnd"/>
            <w:r w:rsidRPr="007506AB">
              <w:rPr>
                <w:rFonts w:ascii="Times New Roman" w:eastAsia="Times New Roman" w:hAnsi="Times New Roman" w:cs="Times New Roman"/>
                <w:lang w:eastAsia="en-GB"/>
              </w:rPr>
              <w:t xml:space="preserve"> įmonių vystymą”. LMT teikdama I PĮP planavo tiesiogines veiklas įgyvendinti veiklas nukreipiant ne tik į projekto partnerius, bet ir į potencialius partnerius ir kitas </w:t>
            </w:r>
            <w:proofErr w:type="spellStart"/>
            <w:r w:rsidRPr="007506AB">
              <w:rPr>
                <w:rFonts w:ascii="Times New Roman" w:eastAsia="Times New Roman" w:hAnsi="Times New Roman" w:cs="Times New Roman"/>
                <w:lang w:eastAsia="en-GB"/>
              </w:rPr>
              <w:t>atžalines</w:t>
            </w:r>
            <w:proofErr w:type="spellEnd"/>
            <w:r w:rsidRPr="007506AB">
              <w:rPr>
                <w:rFonts w:ascii="Times New Roman" w:eastAsia="Times New Roman" w:hAnsi="Times New Roman" w:cs="Times New Roman"/>
                <w:lang w:eastAsia="en-GB"/>
              </w:rPr>
              <w:t xml:space="preserve"> įmones ar įmones planuojančias </w:t>
            </w:r>
            <w:proofErr w:type="spellStart"/>
            <w:r w:rsidRPr="007506AB">
              <w:rPr>
                <w:rFonts w:ascii="Times New Roman" w:eastAsia="Times New Roman" w:hAnsi="Times New Roman" w:cs="Times New Roman"/>
                <w:lang w:eastAsia="en-GB"/>
              </w:rPr>
              <w:t>komercinti</w:t>
            </w:r>
            <w:proofErr w:type="spellEnd"/>
            <w:r w:rsidRPr="007506AB">
              <w:rPr>
                <w:rFonts w:ascii="Times New Roman" w:eastAsia="Times New Roman" w:hAnsi="Times New Roman" w:cs="Times New Roman"/>
                <w:lang w:eastAsia="en-GB"/>
              </w:rPr>
              <w:t xml:space="preserve"> MSI sukurtus rezultatus, netgi į tyrėjus, kurie dar nėra įsteigę įmonės, tačiau dirba su komercinį potencialą turinčiomis idėjomis. Vadovaujantis CPVA vertinimu, tinkamos yra tik partneriams skirtos veiklos ir jokios kitos veiklos PĮP vertinimo metu nebuvo pripažintos tinkamomis. Toks sprendimas buvo grindžiamas tuo, kad PFSA tokių veiklų nenumato. Jei Projektu yra siekiama, kad nefinansinė parama būtų teikiama ne tik projekto partneriams, tas turėtų būti aiškiai numatyta PFSA.</w:t>
            </w:r>
          </w:p>
          <w:p w14:paraId="49FC36D8" w14:textId="77777777" w:rsidR="007506AB" w:rsidRPr="007506AB" w:rsidRDefault="007506AB" w:rsidP="007506AB">
            <w:pPr>
              <w:spacing w:line="276" w:lineRule="auto"/>
              <w:ind w:firstLine="709"/>
              <w:jc w:val="both"/>
              <w:rPr>
                <w:rFonts w:ascii="Times New Roman" w:eastAsia="Times New Roman" w:hAnsi="Times New Roman" w:cs="Times New Roman"/>
              </w:rPr>
            </w:pPr>
            <w:r w:rsidRPr="007506AB">
              <w:rPr>
                <w:rFonts w:ascii="Times New Roman" w:eastAsia="Times New Roman" w:hAnsi="Times New Roman" w:cs="Times New Roman"/>
                <w:lang w:eastAsia="en-GB"/>
              </w:rPr>
              <w:t xml:space="preserve">Atkreipiame dėmesį, kad CPVA netgi pateikė rekomendaciją dėl LMT veiklų reglamentavimo tikslinimo, nes nėra aiškiai apibrėžtas siekiamas poveikis, konkretus </w:t>
            </w:r>
            <w:proofErr w:type="spellStart"/>
            <w:r w:rsidRPr="007506AB">
              <w:rPr>
                <w:rFonts w:ascii="Times New Roman" w:eastAsia="Times New Roman" w:hAnsi="Times New Roman" w:cs="Times New Roman"/>
                <w:lang w:eastAsia="en-GB"/>
              </w:rPr>
              <w:t>poveiklės</w:t>
            </w:r>
            <w:proofErr w:type="spellEnd"/>
            <w:r w:rsidRPr="007506AB">
              <w:rPr>
                <w:rFonts w:ascii="Times New Roman" w:eastAsia="Times New Roman" w:hAnsi="Times New Roman" w:cs="Times New Roman"/>
                <w:lang w:eastAsia="en-GB"/>
              </w:rPr>
              <w:t xml:space="preserve"> tikslas bei numatomi rezultatai, t. y. nėra nurodyta, ką konkrečiai planuojama sukurti ar įgyvendinti vykdant šią </w:t>
            </w:r>
            <w:proofErr w:type="spellStart"/>
            <w:r w:rsidRPr="007506AB">
              <w:rPr>
                <w:rFonts w:ascii="Times New Roman" w:eastAsia="Times New Roman" w:hAnsi="Times New Roman" w:cs="Times New Roman"/>
                <w:lang w:eastAsia="en-GB"/>
              </w:rPr>
              <w:t>poveiklę</w:t>
            </w:r>
            <w:proofErr w:type="spellEnd"/>
            <w:r w:rsidRPr="007506AB">
              <w:rPr>
                <w:rFonts w:ascii="Times New Roman" w:eastAsia="Times New Roman" w:hAnsi="Times New Roman" w:cs="Times New Roman"/>
                <w:lang w:eastAsia="en-GB"/>
              </w:rPr>
              <w:t xml:space="preserve">. CPVA atkreipė dėmesį, kad </w:t>
            </w:r>
            <w:proofErr w:type="spellStart"/>
            <w:r w:rsidRPr="007506AB">
              <w:rPr>
                <w:rFonts w:ascii="Times New Roman" w:eastAsia="Times New Roman" w:hAnsi="Times New Roman" w:cs="Times New Roman"/>
                <w:lang w:eastAsia="en-GB"/>
              </w:rPr>
              <w:t>poveiklės</w:t>
            </w:r>
            <w:proofErr w:type="spellEnd"/>
            <w:r w:rsidRPr="007506AB">
              <w:rPr>
                <w:rFonts w:ascii="Times New Roman" w:eastAsia="Times New Roman" w:hAnsi="Times New Roman" w:cs="Times New Roman"/>
                <w:lang w:eastAsia="en-GB"/>
              </w:rPr>
              <w:t xml:space="preserve"> </w:t>
            </w:r>
            <w:r w:rsidRPr="007506AB">
              <w:rPr>
                <w:rFonts w:ascii="Times New Roman" w:eastAsia="Times New Roman" w:hAnsi="Times New Roman" w:cs="Times New Roman"/>
                <w:lang w:eastAsia="en-GB"/>
              </w:rPr>
              <w:lastRenderedPageBreak/>
              <w:t xml:space="preserve">aprašymas yra abstraktaus pobūdžio ir jame trūksta konkretumo. Papildomai informuojame, jog CPVA pateiktų tekstų neinterpretuoja, todėl </w:t>
            </w:r>
            <w:proofErr w:type="spellStart"/>
            <w:r w:rsidRPr="007506AB">
              <w:rPr>
                <w:rFonts w:ascii="Times New Roman" w:eastAsia="Times New Roman" w:hAnsi="Times New Roman" w:cs="Times New Roman"/>
                <w:lang w:eastAsia="en-GB"/>
              </w:rPr>
              <w:t>poveiklės</w:t>
            </w:r>
            <w:proofErr w:type="spellEnd"/>
            <w:r w:rsidRPr="007506AB">
              <w:rPr>
                <w:rFonts w:ascii="Times New Roman" w:eastAsia="Times New Roman" w:hAnsi="Times New Roman" w:cs="Times New Roman"/>
                <w:lang w:eastAsia="en-GB"/>
              </w:rPr>
              <w:t xml:space="preserve"> aprašymas turi būti suformuluotas aiškiai, tiksliai ir orientuotas į konkrečių veiklų įgyvendinimą bei apčiuopiamų rezultatų pasiekimą, tačiau Projektu į CPVA rekomendaciją nėra atsižvelgiama ir LMT tiesioginėms veiklos skirtos </w:t>
            </w:r>
            <w:proofErr w:type="spellStart"/>
            <w:r w:rsidRPr="007506AB">
              <w:rPr>
                <w:rFonts w:ascii="Times New Roman" w:eastAsia="Times New Roman" w:hAnsi="Times New Roman" w:cs="Times New Roman"/>
                <w:lang w:eastAsia="en-GB"/>
              </w:rPr>
              <w:t>poveiklės</w:t>
            </w:r>
            <w:proofErr w:type="spellEnd"/>
            <w:r w:rsidRPr="007506AB">
              <w:rPr>
                <w:rFonts w:ascii="Times New Roman" w:eastAsia="Times New Roman" w:hAnsi="Times New Roman" w:cs="Times New Roman"/>
                <w:lang w:eastAsia="en-GB"/>
              </w:rPr>
              <w:t xml:space="preserve"> formuluotė nėra tikslinama.</w:t>
            </w:r>
          </w:p>
          <w:p w14:paraId="6BD0D375" w14:textId="77777777" w:rsidR="007506AB" w:rsidRPr="007506AB" w:rsidRDefault="007506AB" w:rsidP="007506AB">
            <w:pPr>
              <w:spacing w:line="276" w:lineRule="auto"/>
              <w:ind w:firstLine="709"/>
              <w:jc w:val="both"/>
              <w:rPr>
                <w:rFonts w:ascii="Times" w:eastAsia="Times" w:hAnsi="Times" w:cs="Times"/>
                <w:color w:val="000000"/>
              </w:rPr>
            </w:pPr>
            <w:r w:rsidRPr="007506AB">
              <w:rPr>
                <w:rFonts w:ascii="Times New Roman" w:eastAsia="Times New Roman" w:hAnsi="Times New Roman" w:cs="Times New Roman"/>
                <w:lang w:eastAsia="en-GB"/>
              </w:rPr>
              <w:t xml:space="preserve">Atitinkamai pabrėžiame, kad PFSA nustatyta, kad LMT tiesioginėms veikloms įgyvendinti, viename PĮP gali būti skirta iki 200 000 Eur. Tinkamos išlaidos gali apimti darbo užmokesčio; renginių organizavimo; komandiruočių veiklas. </w:t>
            </w:r>
            <w:r w:rsidRPr="007506AB">
              <w:rPr>
                <w:rFonts w:ascii="Times New Roman" w:eastAsia="Times New Roman" w:hAnsi="Times New Roman" w:cs="Times New Roman"/>
              </w:rPr>
              <w:t xml:space="preserve">Įgyvendindama tiesiogines veiklas LMT partneriams organizuos brandinimo sesijas, siekiant nustatyti </w:t>
            </w:r>
            <w:proofErr w:type="spellStart"/>
            <w:r w:rsidRPr="007506AB">
              <w:rPr>
                <w:rFonts w:ascii="Times New Roman" w:eastAsia="Times New Roman" w:hAnsi="Times New Roman" w:cs="Times New Roman"/>
              </w:rPr>
              <w:t>atžalinių</w:t>
            </w:r>
            <w:proofErr w:type="spellEnd"/>
            <w:r w:rsidRPr="007506AB">
              <w:rPr>
                <w:rFonts w:ascii="Times New Roman" w:eastAsia="Times New Roman" w:hAnsi="Times New Roman" w:cs="Times New Roman"/>
              </w:rPr>
              <w:t xml:space="preserve"> įmonių būklę, perspektyvas, augimo kryptis ir galimybes. Iš viso planuojama suorganizuoti apie 60 brandinimo sesijų. Jas įgyvendins projekto darbuotojas. P</w:t>
            </w:r>
            <w:r w:rsidRPr="007506AB">
              <w:rPr>
                <w:rFonts w:ascii="Times" w:eastAsia="Times" w:hAnsi="Times" w:cs="Times"/>
                <w:color w:val="000000"/>
              </w:rPr>
              <w:t xml:space="preserve">asitelkiant brandinimo sesijas yra siekiama susikoncentruoti ties partneriui rūpimu, aktualiu klausimu/problemos sprendimu. Brandinimo sesijos – individualus, kūrybinis procesas, kiekvieno partnerio atveju reikalaujantis atskiro įsigilinimo, nes net pasirinkus tą pačią bendrą temą, problemos esmė gali būti kitokia (pvz.: priklausomai ar partneris MSI ar </w:t>
            </w:r>
            <w:proofErr w:type="spellStart"/>
            <w:r w:rsidRPr="007506AB">
              <w:rPr>
                <w:rFonts w:ascii="Times" w:eastAsia="Times" w:hAnsi="Times" w:cs="Times"/>
                <w:color w:val="000000"/>
              </w:rPr>
              <w:t>atžalinė</w:t>
            </w:r>
            <w:proofErr w:type="spellEnd"/>
            <w:r w:rsidRPr="007506AB">
              <w:rPr>
                <w:rFonts w:ascii="Times" w:eastAsia="Times" w:hAnsi="Times" w:cs="Times"/>
                <w:color w:val="000000"/>
              </w:rPr>
              <w:t xml:space="preserve"> įmonė, tik susikūrusi </w:t>
            </w:r>
            <w:proofErr w:type="spellStart"/>
            <w:r w:rsidRPr="007506AB">
              <w:rPr>
                <w:rFonts w:ascii="Times" w:eastAsia="Times" w:hAnsi="Times" w:cs="Times"/>
                <w:color w:val="000000"/>
              </w:rPr>
              <w:t>atžalinė</w:t>
            </w:r>
            <w:proofErr w:type="spellEnd"/>
            <w:r w:rsidRPr="007506AB">
              <w:rPr>
                <w:rFonts w:ascii="Times" w:eastAsia="Times" w:hAnsi="Times" w:cs="Times"/>
                <w:color w:val="000000"/>
              </w:rPr>
              <w:t xml:space="preserve">, ar jau pora metų esanti rinkoje ir pan.). Taip pat yra numatytos išlaidos komandiruotėms Lietuvoje, kad būtų galima nuvažiuoti pas Vidurio ir Vakarų Lietuvoje įsikūrusius partnerius ir išlaidos vienam baigiamajam renginiui. Šių veiklų įgyvendinimui, pagal patvirtintas lėšas, yra skirta 1,5 etato, kas mūsų vertinimu yra labai mažos lėšos tokios didelės apimties veiklai. </w:t>
            </w:r>
          </w:p>
          <w:p w14:paraId="454D2B49" w14:textId="77777777" w:rsidR="007506AB" w:rsidRPr="007506AB" w:rsidRDefault="007506AB" w:rsidP="007506AB">
            <w:pPr>
              <w:spacing w:line="276" w:lineRule="auto"/>
              <w:ind w:firstLine="709"/>
              <w:jc w:val="both"/>
              <w:rPr>
                <w:rFonts w:ascii="Times" w:eastAsia="Times" w:hAnsi="Times" w:cs="Times"/>
                <w:color w:val="000000"/>
              </w:rPr>
            </w:pPr>
            <w:r w:rsidRPr="007506AB">
              <w:rPr>
                <w:rFonts w:ascii="Times" w:eastAsia="Times" w:hAnsi="Times" w:cs="Times"/>
                <w:color w:val="000000"/>
              </w:rPr>
              <w:t xml:space="preserve">Tam, kad būtų laikomasi priemonės nuoseklumo ir būtų analogiškai dirbama su visų keturių kvietimų partneriais, ši veikla bus numatyta visuose kvietimuose. Taip bus užtikrinama partnerių veiklų stebėsena ir atliekama priemonės poveikio analizė. Jei siekiant rodiklio "nefinansinę paramą gavusios įmonės" turėtų būti vykdomos papildomos veiklos – tam turėtų būti numatytas papildomas finansavimas. Jei brandinimo sesijos yra tinkama veikla rodikliui pasiekti - tai turėtų būti aiškiai numatyta PFSA. </w:t>
            </w:r>
          </w:p>
          <w:p w14:paraId="3C826C0E" w14:textId="77777777" w:rsidR="007506AB" w:rsidRPr="007506AB" w:rsidRDefault="007506AB" w:rsidP="007506AB">
            <w:pPr>
              <w:spacing w:line="276" w:lineRule="auto"/>
              <w:ind w:firstLine="709"/>
              <w:jc w:val="both"/>
              <w:rPr>
                <w:rFonts w:ascii="Times" w:eastAsia="Times" w:hAnsi="Times" w:cs="Times"/>
                <w:color w:val="000000"/>
              </w:rPr>
            </w:pPr>
            <w:r w:rsidRPr="007506AB">
              <w:rPr>
                <w:rFonts w:ascii="Times" w:eastAsia="Times" w:hAnsi="Times" w:cs="Times"/>
                <w:color w:val="000000"/>
              </w:rPr>
              <w:lastRenderedPageBreak/>
              <w:t xml:space="preserve">Atkreipiame dėmesį, kad Projekte nėra detalizuojama, ar rodiklis “nefinansinę paramą gavusios įmonės” turėtų būti siekiamas taikant nereikšmingos valstybės pagalbos </w:t>
            </w:r>
            <w:r w:rsidRPr="007506AB">
              <w:rPr>
                <w:rFonts w:ascii="Times" w:eastAsia="Times" w:hAnsi="Times" w:cs="Times"/>
                <w:i/>
                <w:iCs/>
                <w:color w:val="000000"/>
              </w:rPr>
              <w:t xml:space="preserve">de </w:t>
            </w:r>
            <w:proofErr w:type="spellStart"/>
            <w:r w:rsidRPr="007506AB">
              <w:rPr>
                <w:rFonts w:ascii="Times" w:eastAsia="Times" w:hAnsi="Times" w:cs="Times"/>
                <w:i/>
                <w:iCs/>
                <w:color w:val="000000"/>
              </w:rPr>
              <w:t>minimis</w:t>
            </w:r>
            <w:proofErr w:type="spellEnd"/>
            <w:r w:rsidRPr="007506AB">
              <w:rPr>
                <w:rFonts w:ascii="Times" w:eastAsia="Times" w:hAnsi="Times" w:cs="Times"/>
                <w:i/>
                <w:iCs/>
                <w:color w:val="000000"/>
              </w:rPr>
              <w:t xml:space="preserve"> </w:t>
            </w:r>
            <w:r w:rsidRPr="007506AB">
              <w:rPr>
                <w:rFonts w:ascii="Times" w:eastAsia="Times" w:hAnsi="Times" w:cs="Times"/>
                <w:color w:val="000000"/>
              </w:rPr>
              <w:t xml:space="preserve">(toliau – </w:t>
            </w:r>
            <w:r w:rsidRPr="007506AB">
              <w:rPr>
                <w:rFonts w:ascii="Times" w:eastAsia="Times" w:hAnsi="Times" w:cs="Times"/>
                <w:i/>
                <w:iCs/>
                <w:color w:val="000000"/>
              </w:rPr>
              <w:t xml:space="preserve">de </w:t>
            </w:r>
            <w:proofErr w:type="spellStart"/>
            <w:r w:rsidRPr="007506AB">
              <w:rPr>
                <w:rFonts w:ascii="Times" w:eastAsia="Times" w:hAnsi="Times" w:cs="Times"/>
                <w:i/>
                <w:iCs/>
                <w:color w:val="000000"/>
              </w:rPr>
              <w:t>minimis</w:t>
            </w:r>
            <w:proofErr w:type="spellEnd"/>
            <w:r w:rsidRPr="007506AB">
              <w:rPr>
                <w:rFonts w:ascii="Times" w:eastAsia="Times" w:hAnsi="Times" w:cs="Times"/>
                <w:i/>
                <w:iCs/>
                <w:color w:val="000000"/>
              </w:rPr>
              <w:t xml:space="preserve">) </w:t>
            </w:r>
            <w:r w:rsidRPr="007506AB">
              <w:rPr>
                <w:rFonts w:ascii="Times" w:eastAsia="Times" w:hAnsi="Times" w:cs="Times"/>
                <w:color w:val="000000"/>
              </w:rPr>
              <w:t xml:space="preserve">mechanizmą. Jei šis rodiklis turėtų būti siekiamas skiriant </w:t>
            </w:r>
            <w:r w:rsidRPr="007506AB">
              <w:rPr>
                <w:rFonts w:ascii="Times" w:eastAsia="Times" w:hAnsi="Times" w:cs="Times"/>
                <w:i/>
                <w:iCs/>
                <w:color w:val="000000"/>
              </w:rPr>
              <w:t xml:space="preserve">de </w:t>
            </w:r>
            <w:proofErr w:type="spellStart"/>
            <w:r w:rsidRPr="007506AB">
              <w:rPr>
                <w:rFonts w:ascii="Times" w:eastAsia="Times" w:hAnsi="Times" w:cs="Times"/>
                <w:i/>
                <w:iCs/>
                <w:color w:val="000000"/>
              </w:rPr>
              <w:t>minimis</w:t>
            </w:r>
            <w:proofErr w:type="spellEnd"/>
            <w:r w:rsidRPr="007506AB">
              <w:rPr>
                <w:rFonts w:ascii="Times" w:eastAsia="Times" w:hAnsi="Times" w:cs="Times"/>
                <w:color w:val="000000"/>
              </w:rPr>
              <w:t xml:space="preserve">, tuomet turėtų būti padidintos lėšos LMT tiesioginėms veikloms įgyvendinti ir teikiamų paslaugų paketas turėtų būti reikšmingai išplėstas sudarant galimybę pasitelkti ekspertus, priimant į komandą papildomus specialistus, kad siūlomų paslaugų paketas būtų patrauklus įmonėms. Visa tai turėtų būti aiškiai ir tiek projekto vykdytojui tiek CPVA suprantamai išdėstyta PFSA. </w:t>
            </w:r>
          </w:p>
          <w:p w14:paraId="33B405E4" w14:textId="4C23F6CF" w:rsidR="00215127" w:rsidRPr="007506AB" w:rsidRDefault="007506AB" w:rsidP="007506AB">
            <w:pPr>
              <w:spacing w:line="276" w:lineRule="auto"/>
              <w:ind w:firstLine="709"/>
              <w:jc w:val="both"/>
              <w:rPr>
                <w:rFonts w:ascii="Times" w:eastAsia="Times" w:hAnsi="Times" w:cs="Times"/>
                <w:color w:val="000000"/>
              </w:rPr>
            </w:pPr>
            <w:r w:rsidRPr="007506AB">
              <w:rPr>
                <w:rFonts w:ascii="Times New Roman" w:eastAsia="Times New Roman" w:hAnsi="Times New Roman" w:cs="Times New Roman"/>
              </w:rPr>
              <w:t xml:space="preserve">Svarbu įvertinti tai, kad rodiklis </w:t>
            </w:r>
            <w:r w:rsidRPr="007506AB">
              <w:rPr>
                <w:rFonts w:ascii="Times" w:eastAsia="Times" w:hAnsi="Times" w:cs="Times"/>
                <w:color w:val="000000"/>
              </w:rPr>
              <w:t>"nefinansinę paramą gavusios įmonės"</w:t>
            </w:r>
            <w:r w:rsidRPr="007506AB">
              <w:rPr>
                <w:rFonts w:ascii="Times New Roman" w:eastAsia="Times New Roman" w:hAnsi="Times New Roman" w:cs="Times New Roman"/>
              </w:rPr>
              <w:t xml:space="preserve"> yra numatytas ir įgyvendinamas taikant </w:t>
            </w:r>
            <w:r w:rsidRPr="007506AB">
              <w:rPr>
                <w:rFonts w:ascii="Times New Roman" w:eastAsia="Times New Roman" w:hAnsi="Times New Roman" w:cs="Times New Roman"/>
                <w:i/>
                <w:iCs/>
              </w:rPr>
              <w:t xml:space="preserve">de </w:t>
            </w:r>
            <w:proofErr w:type="spellStart"/>
            <w:r w:rsidRPr="007506AB">
              <w:rPr>
                <w:rFonts w:ascii="Times New Roman" w:eastAsia="Times New Roman" w:hAnsi="Times New Roman" w:cs="Times New Roman"/>
                <w:i/>
                <w:iCs/>
              </w:rPr>
              <w:t>minimis</w:t>
            </w:r>
            <w:proofErr w:type="spellEnd"/>
            <w:r w:rsidRPr="007506AB">
              <w:rPr>
                <w:rFonts w:ascii="Times New Roman" w:eastAsia="Times New Roman" w:hAnsi="Times New Roman" w:cs="Times New Roman"/>
              </w:rPr>
              <w:t xml:space="preserve"> kitoje Lietuvos Respublikos švietimo, mokslo ir sporto ministerijos (toliau – ŠMSM) Mokslo plėtros programos pažangos priemonės Nr. 12-001-01-02-01 „Stiprinti inovacijų ekosistemas mokslo centruose“ veikloje “</w:t>
            </w:r>
            <w:proofErr w:type="spellStart"/>
            <w:r w:rsidRPr="007506AB">
              <w:rPr>
                <w:rFonts w:ascii="Times New Roman" w:eastAsia="Times New Roman" w:hAnsi="Times New Roman" w:cs="Times New Roman"/>
              </w:rPr>
              <w:t>Preakseleravimas</w:t>
            </w:r>
            <w:proofErr w:type="spellEnd"/>
            <w:r w:rsidRPr="007506AB">
              <w:rPr>
                <w:rFonts w:ascii="Times New Roman" w:eastAsia="Times New Roman" w:hAnsi="Times New Roman" w:cs="Times New Roman"/>
              </w:rPr>
              <w:t xml:space="preserve"> ir mentorystė”. Projektą ”</w:t>
            </w:r>
            <w:proofErr w:type="spellStart"/>
            <w:r w:rsidRPr="007506AB">
              <w:rPr>
                <w:rFonts w:ascii="Times New Roman" w:eastAsia="Times New Roman" w:hAnsi="Times New Roman" w:cs="Times New Roman"/>
              </w:rPr>
              <w:t>Preakseleravimas</w:t>
            </w:r>
            <w:proofErr w:type="spellEnd"/>
            <w:r w:rsidRPr="007506AB">
              <w:rPr>
                <w:rFonts w:ascii="Times New Roman" w:eastAsia="Times New Roman" w:hAnsi="Times New Roman" w:cs="Times New Roman"/>
              </w:rPr>
              <w:t xml:space="preserve"> ir mentorystė” LMT jau įgyvendina ir dalis projekto veiklų yra nukreipta būtent į rodiklio </w:t>
            </w:r>
            <w:r w:rsidRPr="007506AB">
              <w:rPr>
                <w:rFonts w:ascii="Times" w:eastAsia="Times" w:hAnsi="Times" w:cs="Times"/>
                <w:color w:val="000000"/>
              </w:rPr>
              <w:t>"nefinansinę paramą gavusios įmonės" siekimą siūlant įmonių poreikius atliepiančių paslaugų paketą, tikslinį klientų konsultavimą. LMT vertinimu šio rodiklio įtraukimas į PFSA yra dubliuojantis projekto “</w:t>
            </w:r>
            <w:proofErr w:type="spellStart"/>
            <w:r w:rsidRPr="007506AB">
              <w:rPr>
                <w:rFonts w:ascii="Times" w:eastAsia="Times" w:hAnsi="Times" w:cs="Times"/>
                <w:color w:val="000000"/>
              </w:rPr>
              <w:t>Preakseleravimas</w:t>
            </w:r>
            <w:proofErr w:type="spellEnd"/>
            <w:r w:rsidRPr="007506AB">
              <w:rPr>
                <w:rFonts w:ascii="Times" w:eastAsia="Times" w:hAnsi="Times" w:cs="Times"/>
                <w:color w:val="000000"/>
              </w:rPr>
              <w:t xml:space="preserve"> ir mentorystė” veiklas. </w:t>
            </w:r>
          </w:p>
        </w:tc>
        <w:tc>
          <w:tcPr>
            <w:tcW w:w="4570" w:type="dxa"/>
          </w:tcPr>
          <w:p w14:paraId="663D2DF5" w14:textId="77777777" w:rsidR="00215127" w:rsidRDefault="00413172" w:rsidP="008C2A94">
            <w:pPr>
              <w:ind w:firstLine="607"/>
              <w:jc w:val="both"/>
              <w:rPr>
                <w:rFonts w:ascii="Times New Roman" w:eastAsia="Times New Roman" w:hAnsi="Times New Roman" w:cs="Times New Roman"/>
                <w:b/>
                <w:bCs/>
              </w:rPr>
            </w:pPr>
            <w:r w:rsidRPr="00413172">
              <w:rPr>
                <w:rFonts w:ascii="Times New Roman" w:eastAsia="Times New Roman" w:hAnsi="Times New Roman" w:cs="Times New Roman"/>
                <w:b/>
                <w:bCs/>
              </w:rPr>
              <w:lastRenderedPageBreak/>
              <w:t>Teikiamas paaiškinimas</w:t>
            </w:r>
            <w:r>
              <w:rPr>
                <w:rFonts w:ascii="Times New Roman" w:eastAsia="Times New Roman" w:hAnsi="Times New Roman" w:cs="Times New Roman"/>
                <w:b/>
                <w:bCs/>
              </w:rPr>
              <w:t>.</w:t>
            </w:r>
          </w:p>
          <w:p w14:paraId="5A25915E" w14:textId="62637883" w:rsidR="00413172" w:rsidRDefault="00413172" w:rsidP="008C2A94">
            <w:pPr>
              <w:ind w:firstLine="607"/>
              <w:jc w:val="both"/>
              <w:rPr>
                <w:rFonts w:ascii="Times New Roman" w:eastAsia="Times New Roman" w:hAnsi="Times New Roman" w:cs="Times New Roman"/>
              </w:rPr>
            </w:pPr>
            <w:r>
              <w:rPr>
                <w:rFonts w:ascii="Times New Roman" w:eastAsia="Times New Roman" w:hAnsi="Times New Roman" w:cs="Times New Roman"/>
              </w:rPr>
              <w:t xml:space="preserve">Atkreipiame dėmesį, kad </w:t>
            </w:r>
            <w:r w:rsidR="00C73DE4">
              <w:rPr>
                <w:rFonts w:ascii="Times New Roman" w:eastAsia="Times New Roman" w:hAnsi="Times New Roman" w:cs="Times New Roman"/>
              </w:rPr>
              <w:t>Lietuvos Respublikos švietimo, mokslo ir sporto ministerija</w:t>
            </w:r>
            <w:r w:rsidR="007C4009">
              <w:rPr>
                <w:rFonts w:ascii="Times New Roman" w:eastAsia="Times New Roman" w:hAnsi="Times New Roman" w:cs="Times New Roman"/>
              </w:rPr>
              <w:t xml:space="preserve"> (toliau – Ministerija) nurodytą rodiklį „</w:t>
            </w:r>
            <w:r w:rsidR="0040592E">
              <w:rPr>
                <w:rFonts w:ascii="Times New Roman" w:eastAsia="Times New Roman" w:hAnsi="Times New Roman" w:cs="Times New Roman"/>
              </w:rPr>
              <w:t>N</w:t>
            </w:r>
            <w:r w:rsidR="007C4009">
              <w:rPr>
                <w:rFonts w:ascii="Times New Roman" w:eastAsia="Times New Roman" w:hAnsi="Times New Roman" w:cs="Times New Roman"/>
              </w:rPr>
              <w:t xml:space="preserve">efinansinę paramą gavusios įmonės“ į </w:t>
            </w:r>
            <w:r w:rsidR="007C4009" w:rsidRPr="007C4009">
              <w:rPr>
                <w:rFonts w:ascii="Times New Roman" w:eastAsia="Times New Roman" w:hAnsi="Times New Roman" w:cs="Times New Roman"/>
              </w:rPr>
              <w:t xml:space="preserve">2022–2030 m. plėtros programos valdytojos </w:t>
            </w:r>
            <w:r w:rsidR="00F40189">
              <w:rPr>
                <w:rFonts w:ascii="Times New Roman" w:eastAsia="Times New Roman" w:hAnsi="Times New Roman" w:cs="Times New Roman"/>
              </w:rPr>
              <w:t>L</w:t>
            </w:r>
            <w:r w:rsidR="007C4009" w:rsidRPr="007C4009">
              <w:rPr>
                <w:rFonts w:ascii="Times New Roman" w:eastAsia="Times New Roman" w:hAnsi="Times New Roman" w:cs="Times New Roman"/>
              </w:rPr>
              <w:t xml:space="preserve">ietuvos </w:t>
            </w:r>
            <w:r w:rsidR="00F40189">
              <w:rPr>
                <w:rFonts w:ascii="Times New Roman" w:eastAsia="Times New Roman" w:hAnsi="Times New Roman" w:cs="Times New Roman"/>
              </w:rPr>
              <w:t>R</w:t>
            </w:r>
            <w:r w:rsidR="007C4009" w:rsidRPr="007C4009">
              <w:rPr>
                <w:rFonts w:ascii="Times New Roman" w:eastAsia="Times New Roman" w:hAnsi="Times New Roman" w:cs="Times New Roman"/>
              </w:rPr>
              <w:t xml:space="preserve">espublikos švietimo, mokslo ir sporto ministerijos mokslo plėtros programos pažangos priemonės </w:t>
            </w:r>
            <w:r w:rsidR="00F40189">
              <w:rPr>
                <w:rFonts w:ascii="Times New Roman" w:eastAsia="Times New Roman" w:hAnsi="Times New Roman" w:cs="Times New Roman"/>
              </w:rPr>
              <w:t>N</w:t>
            </w:r>
            <w:r w:rsidR="007C4009" w:rsidRPr="007C4009">
              <w:rPr>
                <w:rFonts w:ascii="Times New Roman" w:eastAsia="Times New Roman" w:hAnsi="Times New Roman" w:cs="Times New Roman"/>
              </w:rPr>
              <w:t>r. 12-001-01-02-01 „</w:t>
            </w:r>
            <w:r w:rsidR="00F40189">
              <w:rPr>
                <w:rFonts w:ascii="Times New Roman" w:eastAsia="Times New Roman" w:hAnsi="Times New Roman" w:cs="Times New Roman"/>
              </w:rPr>
              <w:t>S</w:t>
            </w:r>
            <w:r w:rsidR="007C4009" w:rsidRPr="007C4009">
              <w:rPr>
                <w:rFonts w:ascii="Times New Roman" w:eastAsia="Times New Roman" w:hAnsi="Times New Roman" w:cs="Times New Roman"/>
              </w:rPr>
              <w:t xml:space="preserve">tiprinti inovacijų ekosistemas mokslo centruose“ projektų finansavimo sąlygų aprašo </w:t>
            </w:r>
            <w:r w:rsidR="00F40189">
              <w:rPr>
                <w:rFonts w:ascii="Times New Roman" w:eastAsia="Times New Roman" w:hAnsi="Times New Roman" w:cs="Times New Roman"/>
              </w:rPr>
              <w:t>N</w:t>
            </w:r>
            <w:r w:rsidR="007C4009" w:rsidRPr="007C4009">
              <w:rPr>
                <w:rFonts w:ascii="Times New Roman" w:eastAsia="Times New Roman" w:hAnsi="Times New Roman" w:cs="Times New Roman"/>
              </w:rPr>
              <w:t>r. 12</w:t>
            </w:r>
            <w:r w:rsidR="00F40189">
              <w:rPr>
                <w:rFonts w:ascii="Times New Roman" w:eastAsia="Times New Roman" w:hAnsi="Times New Roman" w:cs="Times New Roman"/>
              </w:rPr>
              <w:t xml:space="preserve"> </w:t>
            </w:r>
            <w:r w:rsidR="00F40189">
              <w:rPr>
                <w:rFonts w:ascii="Times New Roman" w:eastAsia="Times New Roman" w:hAnsi="Times New Roman" w:cs="Times New Roman"/>
              </w:rPr>
              <w:lastRenderedPageBreak/>
              <w:t xml:space="preserve">keitimo projektą (toliau </w:t>
            </w:r>
            <w:r w:rsidR="00C46DD3">
              <w:rPr>
                <w:rFonts w:ascii="Times New Roman" w:eastAsia="Times New Roman" w:hAnsi="Times New Roman" w:cs="Times New Roman"/>
              </w:rPr>
              <w:t>–</w:t>
            </w:r>
            <w:r w:rsidR="00F40189">
              <w:rPr>
                <w:rFonts w:ascii="Times New Roman" w:eastAsia="Times New Roman" w:hAnsi="Times New Roman" w:cs="Times New Roman"/>
              </w:rPr>
              <w:t xml:space="preserve"> </w:t>
            </w:r>
            <w:r w:rsidR="00C46DD3">
              <w:rPr>
                <w:rFonts w:ascii="Times New Roman" w:eastAsia="Times New Roman" w:hAnsi="Times New Roman" w:cs="Times New Roman"/>
              </w:rPr>
              <w:t xml:space="preserve">PFSA Nr. 12 keitimo projektas) </w:t>
            </w:r>
            <w:r w:rsidR="00011262">
              <w:rPr>
                <w:rFonts w:ascii="Times New Roman" w:eastAsia="Times New Roman" w:hAnsi="Times New Roman" w:cs="Times New Roman"/>
              </w:rPr>
              <w:t>įtraukė</w:t>
            </w:r>
            <w:r w:rsidR="00C46DD3">
              <w:rPr>
                <w:rFonts w:ascii="Times New Roman" w:eastAsia="Times New Roman" w:hAnsi="Times New Roman" w:cs="Times New Roman"/>
              </w:rPr>
              <w:t xml:space="preserve"> </w:t>
            </w:r>
            <w:r w:rsidR="00636D08" w:rsidRPr="00636D08">
              <w:rPr>
                <w:rFonts w:ascii="Times New Roman" w:eastAsia="Times New Roman" w:hAnsi="Times New Roman" w:cs="Times New Roman"/>
              </w:rPr>
              <w:t xml:space="preserve">atsižvelgdama į VšĮ Centrinės projektų agentūros </w:t>
            </w:r>
            <w:r w:rsidR="000C7D90">
              <w:rPr>
                <w:rFonts w:ascii="Times New Roman" w:eastAsia="Times New Roman" w:hAnsi="Times New Roman" w:cs="Times New Roman"/>
              </w:rPr>
              <w:t xml:space="preserve">(toliau – CPVA) </w:t>
            </w:r>
            <w:r w:rsidR="00636D08" w:rsidRPr="00636D08">
              <w:rPr>
                <w:rFonts w:ascii="Times New Roman" w:eastAsia="Times New Roman" w:hAnsi="Times New Roman" w:cs="Times New Roman"/>
              </w:rPr>
              <w:t xml:space="preserve">2025 m. lapkričio 18 d. el. laišku „Dėl </w:t>
            </w:r>
            <w:proofErr w:type="spellStart"/>
            <w:r w:rsidR="00636D08" w:rsidRPr="00636D08">
              <w:rPr>
                <w:rFonts w:ascii="Times New Roman" w:eastAsia="Times New Roman" w:hAnsi="Times New Roman" w:cs="Times New Roman"/>
              </w:rPr>
              <w:t>atžalinių</w:t>
            </w:r>
            <w:proofErr w:type="spellEnd"/>
            <w:r w:rsidR="00636D08" w:rsidRPr="00636D08">
              <w:rPr>
                <w:rFonts w:ascii="Times New Roman" w:eastAsia="Times New Roman" w:hAnsi="Times New Roman" w:cs="Times New Roman"/>
              </w:rPr>
              <w:t xml:space="preserve"> įmonių PFSA patikslinimo (kvietimai 10-032-P, 10-033-P, 10-034-P)“ pateiktą informaciją</w:t>
            </w:r>
            <w:r w:rsidR="00746341">
              <w:rPr>
                <w:rFonts w:ascii="Times New Roman" w:eastAsia="Times New Roman" w:hAnsi="Times New Roman" w:cs="Times New Roman"/>
              </w:rPr>
              <w:t xml:space="preserve">: </w:t>
            </w:r>
            <w:r w:rsidR="0001003B">
              <w:rPr>
                <w:rFonts w:ascii="Times New Roman" w:eastAsia="Times New Roman" w:hAnsi="Times New Roman" w:cs="Times New Roman"/>
              </w:rPr>
              <w:t>„</w:t>
            </w:r>
            <w:r w:rsidR="0001003B" w:rsidRPr="0001003B">
              <w:rPr>
                <w:rFonts w:ascii="Times New Roman" w:eastAsia="Times New Roman" w:hAnsi="Times New Roman" w:cs="Times New Roman"/>
                <w:i/>
                <w:iCs/>
              </w:rPr>
              <w:t xml:space="preserve">gavome pastabą iš vidinio audito dėl rengiamos 10-032-P-0001 projekto sutarties, kad sutartyje nėra įtrauktas privalomas Produkto Bendrasis rodiklis. &lt;...&gt; </w:t>
            </w:r>
            <w:r w:rsidR="00C6194E" w:rsidRPr="0001003B">
              <w:rPr>
                <w:rFonts w:ascii="Times New Roman" w:eastAsia="Times New Roman" w:hAnsi="Times New Roman" w:cs="Times New Roman"/>
                <w:i/>
                <w:iCs/>
              </w:rPr>
              <w:t>PFSA turėtų būti numatytas Produkto Bendrasis rodiklis, nurodantis paramos rūšį (vienas iš trijų): P.B.2.0002_Paramą dotacijomis gavusios įmonės;P.B.2.0003_Paramą finansinėmis priemonėmis gavusios įmonės; P.B.2.0004_Nefinansinę paramą gavusios įmonės.</w:t>
            </w:r>
            <w:r w:rsidR="0001003B">
              <w:rPr>
                <w:rFonts w:ascii="Times New Roman" w:eastAsia="Times New Roman" w:hAnsi="Times New Roman" w:cs="Times New Roman"/>
              </w:rPr>
              <w:t>“</w:t>
            </w:r>
          </w:p>
          <w:p w14:paraId="1CF0AF18" w14:textId="3F3D67FC" w:rsidR="0001003B" w:rsidRDefault="0001003B" w:rsidP="008C2A94">
            <w:pPr>
              <w:ind w:firstLine="607"/>
              <w:jc w:val="both"/>
              <w:rPr>
                <w:rFonts w:ascii="Times New Roman" w:eastAsia="Times New Roman" w:hAnsi="Times New Roman" w:cs="Times New Roman"/>
              </w:rPr>
            </w:pPr>
            <w:r>
              <w:rPr>
                <w:rFonts w:ascii="Times New Roman" w:eastAsia="Times New Roman" w:hAnsi="Times New Roman" w:cs="Times New Roman"/>
              </w:rPr>
              <w:t xml:space="preserve">Po vykusio </w:t>
            </w:r>
            <w:r w:rsidR="000C7D90">
              <w:rPr>
                <w:rFonts w:ascii="Times New Roman" w:eastAsia="Times New Roman" w:hAnsi="Times New Roman" w:cs="Times New Roman"/>
              </w:rPr>
              <w:t xml:space="preserve">susirašinėjimo </w:t>
            </w:r>
            <w:r w:rsidR="00365AE2">
              <w:rPr>
                <w:rFonts w:ascii="Times New Roman" w:eastAsia="Times New Roman" w:hAnsi="Times New Roman" w:cs="Times New Roman"/>
              </w:rPr>
              <w:t>(</w:t>
            </w:r>
            <w:r w:rsidR="005B56A6">
              <w:rPr>
                <w:rFonts w:ascii="Times New Roman" w:eastAsia="Times New Roman" w:hAnsi="Times New Roman" w:cs="Times New Roman"/>
              </w:rPr>
              <w:t>2025-11-</w:t>
            </w:r>
            <w:r w:rsidR="006A40D7">
              <w:rPr>
                <w:rFonts w:ascii="Times New Roman" w:eastAsia="Times New Roman" w:hAnsi="Times New Roman" w:cs="Times New Roman"/>
              </w:rPr>
              <w:t>20, 2025-11-21, 2025-11-28, 2025-12</w:t>
            </w:r>
            <w:r w:rsidR="00665FDC">
              <w:rPr>
                <w:rFonts w:ascii="Times New Roman" w:eastAsia="Times New Roman" w:hAnsi="Times New Roman" w:cs="Times New Roman"/>
              </w:rPr>
              <w:t>-</w:t>
            </w:r>
            <w:r w:rsidR="00EE341E">
              <w:rPr>
                <w:rFonts w:ascii="Times New Roman" w:eastAsia="Times New Roman" w:hAnsi="Times New Roman" w:cs="Times New Roman"/>
              </w:rPr>
              <w:t>04 el. laiškai iš el</w:t>
            </w:r>
            <w:r w:rsidR="007572A1">
              <w:rPr>
                <w:rFonts w:ascii="Times New Roman" w:eastAsia="Times New Roman" w:hAnsi="Times New Roman" w:cs="Times New Roman"/>
              </w:rPr>
              <w:t>.</w:t>
            </w:r>
            <w:r w:rsidR="00EE341E">
              <w:rPr>
                <w:rFonts w:ascii="Times New Roman" w:eastAsia="Times New Roman" w:hAnsi="Times New Roman" w:cs="Times New Roman"/>
              </w:rPr>
              <w:t xml:space="preserve"> pašto adreso </w:t>
            </w:r>
            <w:hyperlink r:id="rId8" w:history="1">
              <w:r w:rsidR="001B6DD1" w:rsidRPr="002400E0">
                <w:rPr>
                  <w:rStyle w:val="Hipersaitas"/>
                  <w:rFonts w:ascii="Times New Roman" w:eastAsia="Times New Roman" w:hAnsi="Times New Roman" w:cs="Times New Roman"/>
                </w:rPr>
                <w:t>d.stanciute@cpva.lt</w:t>
              </w:r>
            </w:hyperlink>
            <w:r w:rsidR="001B6DD1">
              <w:rPr>
                <w:rFonts w:ascii="Times New Roman" w:eastAsia="Times New Roman" w:hAnsi="Times New Roman" w:cs="Times New Roman"/>
              </w:rPr>
              <w:t xml:space="preserve">) </w:t>
            </w:r>
            <w:r w:rsidR="000C7D90">
              <w:rPr>
                <w:rFonts w:ascii="Times New Roman" w:eastAsia="Times New Roman" w:hAnsi="Times New Roman" w:cs="Times New Roman"/>
              </w:rPr>
              <w:t>su CPVA</w:t>
            </w:r>
            <w:r w:rsidR="009A197F">
              <w:rPr>
                <w:rFonts w:ascii="Times New Roman" w:eastAsia="Times New Roman" w:hAnsi="Times New Roman" w:cs="Times New Roman"/>
              </w:rPr>
              <w:t>, kuri šiuo klausimu taip pat konsultavosi su Lietuvos Respublik</w:t>
            </w:r>
            <w:r w:rsidR="008666EE">
              <w:rPr>
                <w:rFonts w:ascii="Times New Roman" w:eastAsia="Times New Roman" w:hAnsi="Times New Roman" w:cs="Times New Roman"/>
              </w:rPr>
              <w:t>os finansų ministerija (toliau – Finansų ministerija)</w:t>
            </w:r>
            <w:r w:rsidR="008F4402">
              <w:rPr>
                <w:rFonts w:ascii="Times New Roman" w:eastAsia="Times New Roman" w:hAnsi="Times New Roman" w:cs="Times New Roman"/>
              </w:rPr>
              <w:t>,</w:t>
            </w:r>
            <w:r w:rsidR="001B6DD1">
              <w:rPr>
                <w:rFonts w:ascii="Times New Roman" w:eastAsia="Times New Roman" w:hAnsi="Times New Roman" w:cs="Times New Roman"/>
              </w:rPr>
              <w:t xml:space="preserve"> į PFSA N</w:t>
            </w:r>
            <w:r w:rsidR="003067AF">
              <w:rPr>
                <w:rFonts w:ascii="Times New Roman" w:eastAsia="Times New Roman" w:hAnsi="Times New Roman" w:cs="Times New Roman"/>
              </w:rPr>
              <w:t>r</w:t>
            </w:r>
            <w:r w:rsidR="001B6DD1">
              <w:rPr>
                <w:rFonts w:ascii="Times New Roman" w:eastAsia="Times New Roman" w:hAnsi="Times New Roman" w:cs="Times New Roman"/>
              </w:rPr>
              <w:t>. 12 keitimo projektą</w:t>
            </w:r>
            <w:r w:rsidR="009E0C88">
              <w:rPr>
                <w:rFonts w:ascii="Times New Roman" w:eastAsia="Times New Roman" w:hAnsi="Times New Roman" w:cs="Times New Roman"/>
              </w:rPr>
              <w:t xml:space="preserve"> buvo nuspręsta įtraukti rodiklį </w:t>
            </w:r>
            <w:r w:rsidR="0040592E">
              <w:rPr>
                <w:rFonts w:ascii="Times New Roman" w:eastAsia="Times New Roman" w:hAnsi="Times New Roman" w:cs="Times New Roman"/>
              </w:rPr>
              <w:t xml:space="preserve">„Nefinansinę </w:t>
            </w:r>
            <w:r w:rsidR="006251AA">
              <w:rPr>
                <w:rFonts w:ascii="Times New Roman" w:eastAsia="Times New Roman" w:hAnsi="Times New Roman" w:cs="Times New Roman"/>
              </w:rPr>
              <w:t>paramą gavusios įmonės“.</w:t>
            </w:r>
          </w:p>
          <w:p w14:paraId="6BDF0EFE" w14:textId="16BBA2F0" w:rsidR="006251AA" w:rsidRDefault="00DF74F7" w:rsidP="00E927D5">
            <w:pPr>
              <w:ind w:firstLine="605"/>
              <w:jc w:val="both"/>
              <w:rPr>
                <w:rFonts w:ascii="Times New Roman" w:eastAsia="Times New Roman" w:hAnsi="Times New Roman" w:cs="Times New Roman"/>
              </w:rPr>
            </w:pPr>
            <w:r>
              <w:rPr>
                <w:rFonts w:ascii="Times New Roman" w:eastAsia="Times New Roman" w:hAnsi="Times New Roman" w:cs="Times New Roman"/>
              </w:rPr>
              <w:t xml:space="preserve">Pažymėtina, kad po Ministerijos </w:t>
            </w:r>
            <w:r w:rsidR="003503DD">
              <w:rPr>
                <w:rFonts w:ascii="Times New Roman" w:eastAsia="Times New Roman" w:hAnsi="Times New Roman" w:cs="Times New Roman"/>
              </w:rPr>
              <w:t>susitikimo su Lietuvos mokslo taryba (</w:t>
            </w:r>
            <w:r w:rsidR="00B132FA">
              <w:rPr>
                <w:rFonts w:ascii="Times New Roman" w:eastAsia="Times New Roman" w:hAnsi="Times New Roman" w:cs="Times New Roman"/>
              </w:rPr>
              <w:t>202</w:t>
            </w:r>
            <w:r w:rsidR="00B30134">
              <w:rPr>
                <w:rFonts w:ascii="Times New Roman" w:eastAsia="Times New Roman" w:hAnsi="Times New Roman" w:cs="Times New Roman"/>
              </w:rPr>
              <w:t>5</w:t>
            </w:r>
            <w:r w:rsidR="00B132FA">
              <w:rPr>
                <w:rFonts w:ascii="Times New Roman" w:eastAsia="Times New Roman" w:hAnsi="Times New Roman" w:cs="Times New Roman"/>
              </w:rPr>
              <w:t>-12-12</w:t>
            </w:r>
            <w:r w:rsidR="003E056D">
              <w:rPr>
                <w:rFonts w:ascii="Times New Roman" w:eastAsia="Times New Roman" w:hAnsi="Times New Roman" w:cs="Times New Roman"/>
              </w:rPr>
              <w:t xml:space="preserve"> </w:t>
            </w:r>
            <w:r w:rsidR="003E056D" w:rsidRPr="003E056D">
              <w:rPr>
                <w:rFonts w:ascii="Times New Roman" w:eastAsia="Times New Roman" w:hAnsi="Times New Roman" w:cs="Times New Roman"/>
              </w:rPr>
              <w:t xml:space="preserve">„Microsoft </w:t>
            </w:r>
            <w:proofErr w:type="spellStart"/>
            <w:r w:rsidR="003E056D" w:rsidRPr="003E056D">
              <w:rPr>
                <w:rFonts w:ascii="Times New Roman" w:eastAsia="Times New Roman" w:hAnsi="Times New Roman" w:cs="Times New Roman"/>
              </w:rPr>
              <w:t>Teams</w:t>
            </w:r>
            <w:proofErr w:type="spellEnd"/>
            <w:r w:rsidR="003E056D" w:rsidRPr="003E056D">
              <w:rPr>
                <w:rFonts w:ascii="Times New Roman" w:eastAsia="Times New Roman" w:hAnsi="Times New Roman" w:cs="Times New Roman"/>
              </w:rPr>
              <w:t>“</w:t>
            </w:r>
            <w:r w:rsidR="003E056D">
              <w:rPr>
                <w:rFonts w:ascii="Times New Roman" w:eastAsia="Times New Roman" w:hAnsi="Times New Roman" w:cs="Times New Roman"/>
              </w:rPr>
              <w:t>)</w:t>
            </w:r>
            <w:r w:rsidR="006B7B38">
              <w:rPr>
                <w:rFonts w:ascii="Times New Roman" w:eastAsia="Times New Roman" w:hAnsi="Times New Roman" w:cs="Times New Roman"/>
              </w:rPr>
              <w:t xml:space="preserve">, </w:t>
            </w:r>
            <w:r w:rsidR="00BC3ABC">
              <w:rPr>
                <w:rFonts w:ascii="Times New Roman" w:eastAsia="Times New Roman" w:hAnsi="Times New Roman" w:cs="Times New Roman"/>
              </w:rPr>
              <w:t>CPVA</w:t>
            </w:r>
            <w:r w:rsidR="001B009A">
              <w:rPr>
                <w:rFonts w:ascii="Times New Roman" w:eastAsia="Times New Roman" w:hAnsi="Times New Roman" w:cs="Times New Roman"/>
              </w:rPr>
              <w:t xml:space="preserve"> buvo paprašyta pateikti atsa</w:t>
            </w:r>
            <w:r w:rsidR="00A85EDB">
              <w:rPr>
                <w:rFonts w:ascii="Times New Roman" w:eastAsia="Times New Roman" w:hAnsi="Times New Roman" w:cs="Times New Roman"/>
              </w:rPr>
              <w:t xml:space="preserve">kymą dėl </w:t>
            </w:r>
            <w:r w:rsidR="000E208E">
              <w:rPr>
                <w:rFonts w:ascii="Times New Roman" w:eastAsia="Times New Roman" w:hAnsi="Times New Roman" w:cs="Times New Roman"/>
              </w:rPr>
              <w:t>nurodyto rodiklio užskaitymo. 2025-</w:t>
            </w:r>
            <w:r w:rsidR="0076134C">
              <w:rPr>
                <w:rFonts w:ascii="Times New Roman" w:eastAsia="Times New Roman" w:hAnsi="Times New Roman" w:cs="Times New Roman"/>
              </w:rPr>
              <w:t xml:space="preserve">12-15 el. laišku </w:t>
            </w:r>
            <w:r w:rsidR="00042A05">
              <w:rPr>
                <w:rFonts w:ascii="Times New Roman" w:eastAsia="Times New Roman" w:hAnsi="Times New Roman" w:cs="Times New Roman"/>
              </w:rPr>
              <w:t xml:space="preserve">CPVA </w:t>
            </w:r>
            <w:r w:rsidR="0076134C">
              <w:rPr>
                <w:rFonts w:ascii="Times New Roman" w:eastAsia="Times New Roman" w:hAnsi="Times New Roman" w:cs="Times New Roman"/>
              </w:rPr>
              <w:t xml:space="preserve">informavo, kad </w:t>
            </w:r>
            <w:r w:rsidR="0083596B">
              <w:rPr>
                <w:rFonts w:ascii="Times New Roman" w:eastAsia="Times New Roman" w:hAnsi="Times New Roman" w:cs="Times New Roman"/>
              </w:rPr>
              <w:t>rodiklio reikšmei pasiekti „</w:t>
            </w:r>
            <w:r w:rsidR="0083596B" w:rsidRPr="00A36483">
              <w:rPr>
                <w:rFonts w:ascii="Times New Roman" w:eastAsia="Times New Roman" w:hAnsi="Times New Roman" w:cs="Times New Roman"/>
                <w:i/>
                <w:iCs/>
              </w:rPr>
              <w:t>galėtų būti užskaitomas įmonių dalyvavimas baigiamajame projekto renginyje (konferencijoje)</w:t>
            </w:r>
            <w:r w:rsidR="0083596B">
              <w:rPr>
                <w:rFonts w:ascii="Times New Roman" w:eastAsia="Times New Roman" w:hAnsi="Times New Roman" w:cs="Times New Roman"/>
              </w:rPr>
              <w:t>“</w:t>
            </w:r>
            <w:r w:rsidR="0083596B" w:rsidRPr="0083596B">
              <w:rPr>
                <w:rFonts w:ascii="Times New Roman" w:eastAsia="Times New Roman" w:hAnsi="Times New Roman" w:cs="Times New Roman"/>
              </w:rPr>
              <w:t>.</w:t>
            </w:r>
          </w:p>
          <w:p w14:paraId="12ADA559" w14:textId="731FB479" w:rsidR="00A36483" w:rsidRDefault="00A36483" w:rsidP="008C2A94">
            <w:pPr>
              <w:ind w:firstLine="607"/>
              <w:jc w:val="both"/>
              <w:rPr>
                <w:rFonts w:ascii="Times New Roman" w:eastAsia="Times New Roman" w:hAnsi="Times New Roman" w:cs="Times New Roman"/>
              </w:rPr>
            </w:pPr>
            <w:r>
              <w:rPr>
                <w:rFonts w:ascii="Times New Roman" w:eastAsia="Times New Roman" w:hAnsi="Times New Roman" w:cs="Times New Roman"/>
              </w:rPr>
              <w:t>Atkreiptinas dėmesys, kad visų rodiklių</w:t>
            </w:r>
            <w:r w:rsidR="00AF4A1D">
              <w:rPr>
                <w:rFonts w:ascii="Times New Roman" w:eastAsia="Times New Roman" w:hAnsi="Times New Roman" w:cs="Times New Roman"/>
              </w:rPr>
              <w:t xml:space="preserve"> aprašymai yra nustatyti </w:t>
            </w:r>
            <w:r w:rsidR="00557575" w:rsidRPr="00557575">
              <w:rPr>
                <w:rFonts w:ascii="Times New Roman" w:eastAsia="Times New Roman" w:hAnsi="Times New Roman" w:cs="Times New Roman"/>
              </w:rPr>
              <w:t xml:space="preserve">2022–2030 m. plėtros </w:t>
            </w:r>
            <w:r w:rsidR="00557575" w:rsidRPr="00557575">
              <w:rPr>
                <w:rFonts w:ascii="Times New Roman" w:eastAsia="Times New Roman" w:hAnsi="Times New Roman" w:cs="Times New Roman"/>
              </w:rPr>
              <w:lastRenderedPageBreak/>
              <w:t>programos valdytojos Lietuvos Respublikos švietimo, mokslo ir sporto ministerijos mokslo plėtros programos pažangos priemonės Nr. 12-001-01-02-01 „Stiprinti inovacijų ekosistemas mokslo centruose“</w:t>
            </w:r>
            <w:r w:rsidR="008012B6">
              <w:rPr>
                <w:rStyle w:val="Puslapioinaosnuoroda"/>
                <w:rFonts w:ascii="Times New Roman" w:eastAsia="Times New Roman" w:hAnsi="Times New Roman" w:cs="Times New Roman"/>
              </w:rPr>
              <w:footnoteReference w:id="1"/>
            </w:r>
            <w:r w:rsidR="00557575" w:rsidRPr="00557575">
              <w:rPr>
                <w:rFonts w:ascii="Times New Roman" w:eastAsia="Times New Roman" w:hAnsi="Times New Roman" w:cs="Times New Roman"/>
              </w:rPr>
              <w:t>16 pried</w:t>
            </w:r>
            <w:r w:rsidR="00CE0175">
              <w:rPr>
                <w:rFonts w:ascii="Times New Roman" w:eastAsia="Times New Roman" w:hAnsi="Times New Roman" w:cs="Times New Roman"/>
              </w:rPr>
              <w:t>e</w:t>
            </w:r>
            <w:r w:rsidR="00B84042">
              <w:rPr>
                <w:rFonts w:ascii="Times New Roman" w:eastAsia="Times New Roman" w:hAnsi="Times New Roman" w:cs="Times New Roman"/>
              </w:rPr>
              <w:t xml:space="preserve">. Rodiklio „Nefinansinę paramą gavusios įmonės“ aprašymas </w:t>
            </w:r>
            <w:r w:rsidR="00EF1C98">
              <w:rPr>
                <w:rFonts w:ascii="Times New Roman" w:eastAsia="Times New Roman" w:hAnsi="Times New Roman" w:cs="Times New Roman"/>
              </w:rPr>
              <w:t xml:space="preserve">yra nustatytas nurodyto priedo </w:t>
            </w:r>
            <w:r w:rsidR="008E2E1D" w:rsidRPr="008E2E1D">
              <w:rPr>
                <w:rFonts w:ascii="Times New Roman" w:eastAsia="Times New Roman" w:hAnsi="Times New Roman" w:cs="Times New Roman"/>
              </w:rPr>
              <w:t>XXI</w:t>
            </w:r>
            <w:r w:rsidR="008E2E1D">
              <w:rPr>
                <w:rFonts w:ascii="Times New Roman" w:eastAsia="Times New Roman" w:hAnsi="Times New Roman" w:cs="Times New Roman"/>
              </w:rPr>
              <w:t xml:space="preserve"> skyriuje (</w:t>
            </w:r>
            <w:r w:rsidR="000E0F20">
              <w:rPr>
                <w:rFonts w:ascii="Times New Roman" w:eastAsia="Times New Roman" w:hAnsi="Times New Roman" w:cs="Times New Roman"/>
              </w:rPr>
              <w:t>11 punktas</w:t>
            </w:r>
            <w:r w:rsidR="005620DF">
              <w:rPr>
                <w:rFonts w:ascii="Times New Roman" w:eastAsia="Times New Roman" w:hAnsi="Times New Roman" w:cs="Times New Roman"/>
              </w:rPr>
              <w:t>, apibrėžiantis</w:t>
            </w:r>
            <w:r w:rsidR="004E0C48">
              <w:rPr>
                <w:rFonts w:ascii="Times New Roman" w:eastAsia="Times New Roman" w:hAnsi="Times New Roman" w:cs="Times New Roman"/>
              </w:rPr>
              <w:t xml:space="preserve"> rodiklio duomenų</w:t>
            </w:r>
            <w:r w:rsidR="005620DF">
              <w:rPr>
                <w:rFonts w:ascii="Times New Roman" w:eastAsia="Times New Roman" w:hAnsi="Times New Roman" w:cs="Times New Roman"/>
              </w:rPr>
              <w:t xml:space="preserve"> šaltini</w:t>
            </w:r>
            <w:r w:rsidR="0040616F">
              <w:rPr>
                <w:rFonts w:ascii="Times New Roman" w:eastAsia="Times New Roman" w:hAnsi="Times New Roman" w:cs="Times New Roman"/>
              </w:rPr>
              <w:t>us</w:t>
            </w:r>
            <w:r w:rsidR="000E0F20">
              <w:rPr>
                <w:rFonts w:ascii="Times New Roman" w:eastAsia="Times New Roman" w:hAnsi="Times New Roman" w:cs="Times New Roman"/>
              </w:rPr>
              <w:t xml:space="preserve"> nustato, kad </w:t>
            </w:r>
            <w:r w:rsidR="00B069F9" w:rsidRPr="00B069F9">
              <w:rPr>
                <w:rFonts w:ascii="Times New Roman" w:eastAsia="Times New Roman" w:hAnsi="Times New Roman" w:cs="Times New Roman"/>
              </w:rPr>
              <w:t>pirminių dokumentų sąrašą konkrečiam projektui suderina įgyvendinančioji institucija su projekto vykdytoju</w:t>
            </w:r>
            <w:r w:rsidR="0040616F">
              <w:rPr>
                <w:rFonts w:ascii="Times New Roman" w:eastAsia="Times New Roman" w:hAnsi="Times New Roman" w:cs="Times New Roman"/>
              </w:rPr>
              <w:t>).</w:t>
            </w:r>
            <w:r w:rsidR="00637EAE">
              <w:rPr>
                <w:rFonts w:ascii="Times New Roman" w:eastAsia="Times New Roman" w:hAnsi="Times New Roman" w:cs="Times New Roman"/>
              </w:rPr>
              <w:t xml:space="preserve"> Ministerijos nuomone</w:t>
            </w:r>
            <w:r w:rsidR="00A34A80">
              <w:rPr>
                <w:rFonts w:ascii="Times New Roman" w:eastAsia="Times New Roman" w:hAnsi="Times New Roman" w:cs="Times New Roman"/>
              </w:rPr>
              <w:t xml:space="preserve">, tokiais dokumentais galėtų būti </w:t>
            </w:r>
            <w:r w:rsidR="00A757BF">
              <w:rPr>
                <w:rFonts w:ascii="Times New Roman" w:eastAsia="Times New Roman" w:hAnsi="Times New Roman" w:cs="Times New Roman"/>
              </w:rPr>
              <w:t>baigiamojo projekto renginio (dalyvių) sąraša</w:t>
            </w:r>
            <w:r w:rsidR="0074062A">
              <w:rPr>
                <w:rFonts w:ascii="Times New Roman" w:eastAsia="Times New Roman" w:hAnsi="Times New Roman" w:cs="Times New Roman"/>
              </w:rPr>
              <w:t>s.</w:t>
            </w:r>
            <w:r w:rsidR="001D719B">
              <w:rPr>
                <w:rFonts w:ascii="Times New Roman" w:eastAsia="Times New Roman" w:hAnsi="Times New Roman" w:cs="Times New Roman"/>
              </w:rPr>
              <w:t xml:space="preserve"> Į rodiklio reikšmę būtų užskaitomos tos pačios įmonės</w:t>
            </w:r>
            <w:r w:rsidR="00DC05BE">
              <w:rPr>
                <w:rFonts w:ascii="Times New Roman" w:eastAsia="Times New Roman" w:hAnsi="Times New Roman" w:cs="Times New Roman"/>
              </w:rPr>
              <w:t>, kurios dabar užskaitomos</w:t>
            </w:r>
            <w:r w:rsidR="007F2AED">
              <w:rPr>
                <w:rFonts w:ascii="Times New Roman" w:eastAsia="Times New Roman" w:hAnsi="Times New Roman" w:cs="Times New Roman"/>
              </w:rPr>
              <w:t xml:space="preserve"> rodiklio „Paramą gavusios įmonės“ reikšmėje, nes naujai įtraukiamas rodiklis parodo tik </w:t>
            </w:r>
            <w:r w:rsidR="006523EC">
              <w:rPr>
                <w:rFonts w:ascii="Times New Roman" w:eastAsia="Times New Roman" w:hAnsi="Times New Roman" w:cs="Times New Roman"/>
              </w:rPr>
              <w:t>paramos formą</w:t>
            </w:r>
            <w:r w:rsidR="00975A78">
              <w:rPr>
                <w:rFonts w:ascii="Times New Roman" w:eastAsia="Times New Roman" w:hAnsi="Times New Roman" w:cs="Times New Roman"/>
              </w:rPr>
              <w:t>, o ne papildomus reikalavimus pag</w:t>
            </w:r>
            <w:r w:rsidR="008C2A94">
              <w:rPr>
                <w:rFonts w:ascii="Times New Roman" w:eastAsia="Times New Roman" w:hAnsi="Times New Roman" w:cs="Times New Roman"/>
              </w:rPr>
              <w:t>al PFSA Nr. 12 fi</w:t>
            </w:r>
            <w:r w:rsidR="00CE2DD8">
              <w:rPr>
                <w:rFonts w:ascii="Times New Roman" w:eastAsia="Times New Roman" w:hAnsi="Times New Roman" w:cs="Times New Roman"/>
              </w:rPr>
              <w:t>n</w:t>
            </w:r>
            <w:r w:rsidR="008C2A94">
              <w:rPr>
                <w:rFonts w:ascii="Times New Roman" w:eastAsia="Times New Roman" w:hAnsi="Times New Roman" w:cs="Times New Roman"/>
              </w:rPr>
              <w:t>ansuojamiems projektams.</w:t>
            </w:r>
          </w:p>
          <w:p w14:paraId="11F8C785" w14:textId="77777777" w:rsidR="00396867" w:rsidRDefault="00396867" w:rsidP="008C2A94">
            <w:pPr>
              <w:ind w:firstLine="607"/>
              <w:jc w:val="both"/>
              <w:rPr>
                <w:rFonts w:ascii="Times New Roman" w:eastAsia="Times New Roman" w:hAnsi="Times New Roman" w:cs="Times New Roman"/>
              </w:rPr>
            </w:pPr>
            <w:r>
              <w:rPr>
                <w:rFonts w:ascii="Times New Roman" w:eastAsia="Times New Roman" w:hAnsi="Times New Roman" w:cs="Times New Roman"/>
              </w:rPr>
              <w:t>Papildomai pažymime, kad maži</w:t>
            </w:r>
            <w:r w:rsidR="001E4EEF">
              <w:rPr>
                <w:rFonts w:ascii="Times New Roman" w:eastAsia="Times New Roman" w:hAnsi="Times New Roman" w:cs="Times New Roman"/>
              </w:rPr>
              <w:t xml:space="preserve">nant PFSA Nr. 12 </w:t>
            </w:r>
            <w:r w:rsidR="006C0A01">
              <w:rPr>
                <w:rFonts w:ascii="Times New Roman" w:eastAsia="Times New Roman" w:hAnsi="Times New Roman" w:cs="Times New Roman"/>
              </w:rPr>
              <w:t xml:space="preserve">nustatytą </w:t>
            </w:r>
            <w:r w:rsidR="002F2284">
              <w:rPr>
                <w:rFonts w:ascii="Times New Roman" w:eastAsia="Times New Roman" w:hAnsi="Times New Roman" w:cs="Times New Roman"/>
              </w:rPr>
              <w:t xml:space="preserve">veiklai skiriamo finansavimo sumą atitinkamai </w:t>
            </w:r>
            <w:r w:rsidR="0028733D">
              <w:rPr>
                <w:rFonts w:ascii="Times New Roman" w:eastAsia="Times New Roman" w:hAnsi="Times New Roman" w:cs="Times New Roman"/>
              </w:rPr>
              <w:t>buvo sumažintos ir nustatytų rodiklių reikšmės</w:t>
            </w:r>
            <w:r w:rsidR="0064125D">
              <w:rPr>
                <w:rFonts w:ascii="Times New Roman" w:eastAsia="Times New Roman" w:hAnsi="Times New Roman" w:cs="Times New Roman"/>
              </w:rPr>
              <w:t xml:space="preserve"> (</w:t>
            </w:r>
            <w:r w:rsidR="00C14213">
              <w:rPr>
                <w:rFonts w:ascii="Times New Roman" w:eastAsia="Times New Roman" w:hAnsi="Times New Roman" w:cs="Times New Roman"/>
              </w:rPr>
              <w:t xml:space="preserve">galiojanti </w:t>
            </w:r>
            <w:r w:rsidR="00491F86">
              <w:rPr>
                <w:rFonts w:ascii="Times New Roman" w:eastAsia="Times New Roman" w:hAnsi="Times New Roman" w:cs="Times New Roman"/>
              </w:rPr>
              <w:t xml:space="preserve">bendra </w:t>
            </w:r>
            <w:r w:rsidR="005C2584">
              <w:rPr>
                <w:rFonts w:ascii="Times New Roman" w:eastAsia="Times New Roman" w:hAnsi="Times New Roman" w:cs="Times New Roman"/>
              </w:rPr>
              <w:t>p</w:t>
            </w:r>
            <w:r w:rsidR="005C2584" w:rsidRPr="005C2584">
              <w:rPr>
                <w:rFonts w:ascii="Times New Roman" w:eastAsia="Times New Roman" w:hAnsi="Times New Roman" w:cs="Times New Roman"/>
              </w:rPr>
              <w:t>aramą gavusi</w:t>
            </w:r>
            <w:r w:rsidR="005C2584">
              <w:rPr>
                <w:rFonts w:ascii="Times New Roman" w:eastAsia="Times New Roman" w:hAnsi="Times New Roman" w:cs="Times New Roman"/>
              </w:rPr>
              <w:t>ų</w:t>
            </w:r>
            <w:r w:rsidR="005C2584" w:rsidRPr="005C2584">
              <w:rPr>
                <w:rFonts w:ascii="Times New Roman" w:eastAsia="Times New Roman" w:hAnsi="Times New Roman" w:cs="Times New Roman"/>
              </w:rPr>
              <w:t xml:space="preserve"> nauj</w:t>
            </w:r>
            <w:r w:rsidR="005C2584">
              <w:rPr>
                <w:rFonts w:ascii="Times New Roman" w:eastAsia="Times New Roman" w:hAnsi="Times New Roman" w:cs="Times New Roman"/>
              </w:rPr>
              <w:t>ų</w:t>
            </w:r>
            <w:r w:rsidR="005C2584" w:rsidRPr="005C2584">
              <w:rPr>
                <w:rFonts w:ascii="Times New Roman" w:eastAsia="Times New Roman" w:hAnsi="Times New Roman" w:cs="Times New Roman"/>
              </w:rPr>
              <w:t xml:space="preserve"> įmon</w:t>
            </w:r>
            <w:r w:rsidR="005C2584">
              <w:rPr>
                <w:rFonts w:ascii="Times New Roman" w:eastAsia="Times New Roman" w:hAnsi="Times New Roman" w:cs="Times New Roman"/>
              </w:rPr>
              <w:t xml:space="preserve">ių </w:t>
            </w:r>
            <w:r w:rsidR="006800C7">
              <w:rPr>
                <w:rFonts w:ascii="Times New Roman" w:eastAsia="Times New Roman" w:hAnsi="Times New Roman" w:cs="Times New Roman"/>
              </w:rPr>
              <w:t xml:space="preserve">rodiklio reikšmė </w:t>
            </w:r>
            <w:r w:rsidR="00D73E80">
              <w:rPr>
                <w:rFonts w:ascii="Times New Roman" w:eastAsia="Times New Roman" w:hAnsi="Times New Roman" w:cs="Times New Roman"/>
              </w:rPr>
              <w:t>yra 170</w:t>
            </w:r>
            <w:r w:rsidR="00B95668">
              <w:rPr>
                <w:rFonts w:ascii="Times New Roman" w:eastAsia="Times New Roman" w:hAnsi="Times New Roman" w:cs="Times New Roman"/>
              </w:rPr>
              <w:t xml:space="preserve">, PFSA Nr. 12 keitimo projekte </w:t>
            </w:r>
            <w:r w:rsidR="00AF0AD3">
              <w:rPr>
                <w:rFonts w:ascii="Times New Roman" w:eastAsia="Times New Roman" w:hAnsi="Times New Roman" w:cs="Times New Roman"/>
              </w:rPr>
              <w:t>–</w:t>
            </w:r>
            <w:r w:rsidR="00B95668">
              <w:rPr>
                <w:rFonts w:ascii="Times New Roman" w:eastAsia="Times New Roman" w:hAnsi="Times New Roman" w:cs="Times New Roman"/>
              </w:rPr>
              <w:t xml:space="preserve"> </w:t>
            </w:r>
            <w:r w:rsidR="00AF0AD3">
              <w:rPr>
                <w:rFonts w:ascii="Times New Roman" w:eastAsia="Times New Roman" w:hAnsi="Times New Roman" w:cs="Times New Roman"/>
              </w:rPr>
              <w:t xml:space="preserve">140). Be to, tiek dabar galiojanti rodiklio reikšmė, tiek </w:t>
            </w:r>
            <w:r w:rsidR="00714FBA">
              <w:rPr>
                <w:rFonts w:ascii="Times New Roman" w:eastAsia="Times New Roman" w:hAnsi="Times New Roman" w:cs="Times New Roman"/>
              </w:rPr>
              <w:t xml:space="preserve">planuojama rodiklio reikšmė yra nustatoma visai pagal PFSA Nr. 12 finansuojamai veiklai, o ne atskiriems šios veiklos kvietimams. </w:t>
            </w:r>
            <w:r w:rsidR="00DC7DC7">
              <w:rPr>
                <w:rFonts w:ascii="Times New Roman" w:eastAsia="Times New Roman" w:hAnsi="Times New Roman" w:cs="Times New Roman"/>
              </w:rPr>
              <w:t xml:space="preserve">Atskirų kvietimų reikšmės yra nustatomos </w:t>
            </w:r>
            <w:r w:rsidR="00076733">
              <w:rPr>
                <w:rFonts w:ascii="Times New Roman" w:eastAsia="Times New Roman" w:hAnsi="Times New Roman" w:cs="Times New Roman"/>
              </w:rPr>
              <w:t>Ministerijos su CPVA derinamame kvietimų plane.</w:t>
            </w:r>
          </w:p>
          <w:p w14:paraId="1C52D512" w14:textId="23312835" w:rsidR="00AE6F2B" w:rsidRPr="00413172" w:rsidRDefault="00EB2F1F" w:rsidP="008C2A94">
            <w:pPr>
              <w:ind w:firstLine="607"/>
              <w:jc w:val="both"/>
              <w:rPr>
                <w:rFonts w:ascii="Times New Roman" w:eastAsia="Times New Roman" w:hAnsi="Times New Roman" w:cs="Times New Roman"/>
              </w:rPr>
            </w:pPr>
            <w:r>
              <w:rPr>
                <w:rFonts w:ascii="Times New Roman" w:eastAsia="Times New Roman" w:hAnsi="Times New Roman" w:cs="Times New Roman"/>
              </w:rPr>
              <w:t>Atsa</w:t>
            </w:r>
            <w:r w:rsidR="002D2762">
              <w:rPr>
                <w:rFonts w:ascii="Times New Roman" w:eastAsia="Times New Roman" w:hAnsi="Times New Roman" w:cs="Times New Roman"/>
              </w:rPr>
              <w:t>kydama</w:t>
            </w:r>
            <w:r>
              <w:rPr>
                <w:rFonts w:ascii="Times New Roman" w:eastAsia="Times New Roman" w:hAnsi="Times New Roman" w:cs="Times New Roman"/>
              </w:rPr>
              <w:t xml:space="preserve"> į pastebėjimą, kad </w:t>
            </w:r>
            <w:r w:rsidR="00BA0BEC">
              <w:rPr>
                <w:rFonts w:ascii="Times New Roman" w:eastAsia="Times New Roman" w:hAnsi="Times New Roman" w:cs="Times New Roman"/>
              </w:rPr>
              <w:t>„</w:t>
            </w:r>
            <w:r w:rsidRPr="00BA0BEC">
              <w:rPr>
                <w:rFonts w:ascii="Times New Roman" w:eastAsia="Times New Roman" w:hAnsi="Times New Roman" w:cs="Times New Roman"/>
                <w:i/>
                <w:iCs/>
              </w:rPr>
              <w:t xml:space="preserve">Šiuo metu Pirmasis LMT teiktas PĮP yra patvirtintas ir projektas yra įgyvendinamas. Rodiklis </w:t>
            </w:r>
            <w:r w:rsidRPr="00BA0BEC">
              <w:rPr>
                <w:rFonts w:ascii="Times New Roman" w:eastAsia="Times New Roman" w:hAnsi="Times New Roman" w:cs="Times New Roman"/>
                <w:i/>
                <w:iCs/>
              </w:rPr>
              <w:lastRenderedPageBreak/>
              <w:t>“Nefinansinę paramą gavusios įmonės” šiuo projektu nėra siekiamas. Vadovaujantis Centrinės projektų valdymo agentūros (toliau – CPVA) paskelbtu kvietimu, antrojo PĮP pateikimo terminas – vasario 13 d. ir šiame kvietime Projektu planuojamas rodiklis nėra nustatytas. LMT projekto partnerių atranką yra įvykdžiusi ir yra pasiruošusi teikti PĮP</w:t>
            </w:r>
            <w:r w:rsidR="00BA0BEC">
              <w:rPr>
                <w:rFonts w:ascii="Times New Roman" w:eastAsia="Times New Roman" w:hAnsi="Times New Roman" w:cs="Times New Roman"/>
              </w:rPr>
              <w:t>“</w:t>
            </w:r>
            <w:r w:rsidR="002D2762">
              <w:rPr>
                <w:rFonts w:ascii="Times New Roman" w:eastAsia="Times New Roman" w:hAnsi="Times New Roman" w:cs="Times New Roman"/>
              </w:rPr>
              <w:t xml:space="preserve">, Ministerija informuoja, kad </w:t>
            </w:r>
            <w:r w:rsidR="0088246B">
              <w:rPr>
                <w:rFonts w:ascii="Times New Roman" w:eastAsia="Times New Roman" w:hAnsi="Times New Roman" w:cs="Times New Roman"/>
              </w:rPr>
              <w:t xml:space="preserve">Lietuvos mokslo taryba </w:t>
            </w:r>
            <w:r w:rsidR="006F3707">
              <w:rPr>
                <w:rFonts w:ascii="Times New Roman" w:eastAsia="Times New Roman" w:hAnsi="Times New Roman" w:cs="Times New Roman"/>
              </w:rPr>
              <w:t xml:space="preserve">antrajame kvietime </w:t>
            </w:r>
            <w:r w:rsidR="0088246B">
              <w:rPr>
                <w:rFonts w:ascii="Times New Roman" w:eastAsia="Times New Roman" w:hAnsi="Times New Roman" w:cs="Times New Roman"/>
              </w:rPr>
              <w:t>projekto įgyvendinimo planą turi</w:t>
            </w:r>
            <w:r w:rsidR="00165C4B">
              <w:rPr>
                <w:rFonts w:ascii="Times New Roman" w:eastAsia="Times New Roman" w:hAnsi="Times New Roman" w:cs="Times New Roman"/>
              </w:rPr>
              <w:t xml:space="preserve"> teikt</w:t>
            </w:r>
            <w:r w:rsidR="00B21C11">
              <w:rPr>
                <w:rFonts w:ascii="Times New Roman" w:eastAsia="Times New Roman" w:hAnsi="Times New Roman" w:cs="Times New Roman"/>
              </w:rPr>
              <w:t>i pagal</w:t>
            </w:r>
            <w:r w:rsidR="00967A9C">
              <w:rPr>
                <w:rFonts w:ascii="Times New Roman" w:eastAsia="Times New Roman" w:hAnsi="Times New Roman" w:cs="Times New Roman"/>
              </w:rPr>
              <w:t xml:space="preserve"> dabar galiojančio</w:t>
            </w:r>
            <w:r w:rsidR="00B21C11">
              <w:rPr>
                <w:rFonts w:ascii="Times New Roman" w:eastAsia="Times New Roman" w:hAnsi="Times New Roman" w:cs="Times New Roman"/>
              </w:rPr>
              <w:t>s</w:t>
            </w:r>
            <w:r w:rsidR="00967A9C">
              <w:rPr>
                <w:rFonts w:ascii="Times New Roman" w:eastAsia="Times New Roman" w:hAnsi="Times New Roman" w:cs="Times New Roman"/>
              </w:rPr>
              <w:t xml:space="preserve"> PFSA Nr. 12 </w:t>
            </w:r>
            <w:r w:rsidR="00B21C11">
              <w:rPr>
                <w:rFonts w:ascii="Times New Roman" w:eastAsia="Times New Roman" w:hAnsi="Times New Roman" w:cs="Times New Roman"/>
              </w:rPr>
              <w:t xml:space="preserve">redakcijos </w:t>
            </w:r>
            <w:r w:rsidR="00967A9C">
              <w:rPr>
                <w:rFonts w:ascii="Times New Roman" w:eastAsia="Times New Roman" w:hAnsi="Times New Roman" w:cs="Times New Roman"/>
              </w:rPr>
              <w:t>sąlyg</w:t>
            </w:r>
            <w:r w:rsidR="00B21C11">
              <w:rPr>
                <w:rFonts w:ascii="Times New Roman" w:eastAsia="Times New Roman" w:hAnsi="Times New Roman" w:cs="Times New Roman"/>
              </w:rPr>
              <w:t>as</w:t>
            </w:r>
            <w:r w:rsidR="00967A9C">
              <w:rPr>
                <w:rFonts w:ascii="Times New Roman" w:eastAsia="Times New Roman" w:hAnsi="Times New Roman" w:cs="Times New Roman"/>
              </w:rPr>
              <w:t xml:space="preserve"> (be </w:t>
            </w:r>
            <w:r w:rsidR="00D76287">
              <w:rPr>
                <w:rFonts w:ascii="Times New Roman" w:eastAsia="Times New Roman" w:hAnsi="Times New Roman" w:cs="Times New Roman"/>
              </w:rPr>
              <w:t>rodiklio „Nefinansinę paramą gavusios įmonės</w:t>
            </w:r>
            <w:r w:rsidR="005310F8">
              <w:rPr>
                <w:rFonts w:ascii="Times New Roman" w:eastAsia="Times New Roman" w:hAnsi="Times New Roman" w:cs="Times New Roman"/>
              </w:rPr>
              <w:t>“</w:t>
            </w:r>
            <w:r w:rsidR="00D76287">
              <w:rPr>
                <w:rFonts w:ascii="Times New Roman" w:eastAsia="Times New Roman" w:hAnsi="Times New Roman" w:cs="Times New Roman"/>
              </w:rPr>
              <w:t>)</w:t>
            </w:r>
            <w:r w:rsidR="00216AC6">
              <w:rPr>
                <w:rFonts w:ascii="Times New Roman" w:eastAsia="Times New Roman" w:hAnsi="Times New Roman" w:cs="Times New Roman"/>
              </w:rPr>
              <w:t xml:space="preserve">. </w:t>
            </w:r>
            <w:r w:rsidR="00B21C11">
              <w:rPr>
                <w:rFonts w:ascii="Times New Roman" w:eastAsia="Times New Roman" w:hAnsi="Times New Roman" w:cs="Times New Roman"/>
              </w:rPr>
              <w:t xml:space="preserve">Po </w:t>
            </w:r>
            <w:r w:rsidR="00F06EEB">
              <w:rPr>
                <w:rFonts w:ascii="Times New Roman" w:eastAsia="Times New Roman" w:hAnsi="Times New Roman" w:cs="Times New Roman"/>
              </w:rPr>
              <w:t>PFSA Nr. 12 keitimo pa</w:t>
            </w:r>
            <w:r w:rsidR="005D0B16">
              <w:rPr>
                <w:rFonts w:ascii="Times New Roman" w:eastAsia="Times New Roman" w:hAnsi="Times New Roman" w:cs="Times New Roman"/>
              </w:rPr>
              <w:t>t</w:t>
            </w:r>
            <w:r w:rsidR="00F06EEB">
              <w:rPr>
                <w:rFonts w:ascii="Times New Roman" w:eastAsia="Times New Roman" w:hAnsi="Times New Roman" w:cs="Times New Roman"/>
              </w:rPr>
              <w:t>virtinimo (proje</w:t>
            </w:r>
            <w:r w:rsidR="00AD717B">
              <w:rPr>
                <w:rFonts w:ascii="Times New Roman" w:eastAsia="Times New Roman" w:hAnsi="Times New Roman" w:cs="Times New Roman"/>
              </w:rPr>
              <w:t>k</w:t>
            </w:r>
            <w:r w:rsidR="00F06EEB">
              <w:rPr>
                <w:rFonts w:ascii="Times New Roman" w:eastAsia="Times New Roman" w:hAnsi="Times New Roman" w:cs="Times New Roman"/>
              </w:rPr>
              <w:t>tas dar bus derinamas ir su CPVA bei kitomis suinteresuotomis inst</w:t>
            </w:r>
            <w:r w:rsidR="00AD717B">
              <w:rPr>
                <w:rFonts w:ascii="Times New Roman" w:eastAsia="Times New Roman" w:hAnsi="Times New Roman" w:cs="Times New Roman"/>
              </w:rPr>
              <w:t>itucijomis per Teisės aktų informacinę sistemą</w:t>
            </w:r>
            <w:r w:rsidR="00D970C9">
              <w:rPr>
                <w:rFonts w:ascii="Times New Roman" w:eastAsia="Times New Roman" w:hAnsi="Times New Roman" w:cs="Times New Roman"/>
              </w:rPr>
              <w:t xml:space="preserve">, ir su Finansų ministerija) </w:t>
            </w:r>
            <w:r w:rsidR="00724729">
              <w:rPr>
                <w:rFonts w:ascii="Times New Roman" w:eastAsia="Times New Roman" w:hAnsi="Times New Roman" w:cs="Times New Roman"/>
              </w:rPr>
              <w:t>rodiklis „Nefinansinę paramą gavusios įmonės</w:t>
            </w:r>
            <w:r w:rsidR="00E811F0">
              <w:rPr>
                <w:rFonts w:ascii="Times New Roman" w:eastAsia="Times New Roman" w:hAnsi="Times New Roman" w:cs="Times New Roman"/>
              </w:rPr>
              <w:t>“</w:t>
            </w:r>
            <w:r w:rsidR="00724729">
              <w:rPr>
                <w:rFonts w:ascii="Times New Roman" w:eastAsia="Times New Roman" w:hAnsi="Times New Roman" w:cs="Times New Roman"/>
              </w:rPr>
              <w:t xml:space="preserve"> ir </w:t>
            </w:r>
            <w:r w:rsidR="007D1C28">
              <w:rPr>
                <w:rFonts w:ascii="Times New Roman" w:eastAsia="Times New Roman" w:hAnsi="Times New Roman" w:cs="Times New Roman"/>
              </w:rPr>
              <w:t xml:space="preserve">jo reikšmė bus įtraukiama į tikslinamą projekto įgyvendinimo planą (jei </w:t>
            </w:r>
            <w:r w:rsidR="00E91C10">
              <w:rPr>
                <w:rFonts w:ascii="Times New Roman" w:eastAsia="Times New Roman" w:hAnsi="Times New Roman" w:cs="Times New Roman"/>
              </w:rPr>
              <w:t>vertinimo procesas dar nebus baigtas) arba projekto sutartį (jei vertinimo procesas jau bus pasibaigęs).</w:t>
            </w:r>
          </w:p>
        </w:tc>
      </w:tr>
      <w:tr w:rsidR="00215127" w:rsidRPr="00821A84" w14:paraId="7680BE44" w14:textId="77777777" w:rsidTr="008C2A94">
        <w:trPr>
          <w:jc w:val="center"/>
        </w:trPr>
        <w:tc>
          <w:tcPr>
            <w:tcW w:w="988" w:type="dxa"/>
          </w:tcPr>
          <w:p w14:paraId="7B58FE4E" w14:textId="03FBAD9B" w:rsidR="00215127" w:rsidRPr="00821A84" w:rsidRDefault="00DE5062" w:rsidP="00821A84">
            <w:pPr>
              <w:jc w:val="center"/>
              <w:rPr>
                <w:rFonts w:ascii="Times New Roman" w:eastAsia="Times New Roman" w:hAnsi="Times New Roman" w:cs="Times New Roman"/>
                <w:b/>
                <w:bCs/>
                <w:lang w:val="en-GB"/>
              </w:rPr>
            </w:pPr>
            <w:r>
              <w:rPr>
                <w:rFonts w:ascii="Times New Roman" w:eastAsia="Times New Roman" w:hAnsi="Times New Roman" w:cs="Times New Roman"/>
                <w:b/>
                <w:bCs/>
                <w:lang w:val="en-GB"/>
              </w:rPr>
              <w:lastRenderedPageBreak/>
              <w:t>2.</w:t>
            </w:r>
          </w:p>
        </w:tc>
        <w:tc>
          <w:tcPr>
            <w:tcW w:w="1658" w:type="dxa"/>
            <w:vMerge/>
          </w:tcPr>
          <w:p w14:paraId="2020E588" w14:textId="77777777" w:rsidR="00215127" w:rsidRPr="00821A84" w:rsidRDefault="00215127" w:rsidP="00821A84">
            <w:pPr>
              <w:jc w:val="center"/>
              <w:rPr>
                <w:rFonts w:ascii="Times New Roman" w:eastAsia="Times New Roman" w:hAnsi="Times New Roman" w:cs="Times New Roman"/>
                <w:lang w:val="en-GB"/>
              </w:rPr>
            </w:pPr>
          </w:p>
        </w:tc>
        <w:tc>
          <w:tcPr>
            <w:tcW w:w="7839" w:type="dxa"/>
          </w:tcPr>
          <w:p w14:paraId="11E78378" w14:textId="77777777" w:rsidR="00FA0BE3" w:rsidRPr="00FA0BE3" w:rsidRDefault="00FA0BE3" w:rsidP="00FA0BE3">
            <w:pPr>
              <w:spacing w:line="276" w:lineRule="auto"/>
              <w:ind w:firstLine="720"/>
              <w:jc w:val="both"/>
              <w:rPr>
                <w:rFonts w:ascii="Times New Roman" w:eastAsia="Times New Roman" w:hAnsi="Times New Roman" w:cs="Times New Roman"/>
                <w:lang w:eastAsia="en-GB"/>
              </w:rPr>
            </w:pPr>
            <w:r w:rsidRPr="00FA0BE3">
              <w:rPr>
                <w:rFonts w:ascii="Times New Roman" w:eastAsia="Times New Roman" w:hAnsi="Times New Roman" w:cs="Times New Roman"/>
                <w:lang w:eastAsia="en-GB"/>
              </w:rPr>
              <w:t xml:space="preserve">Vadovaujantis Lietuvos Respublikos finansų ministerijos (toliau </w:t>
            </w:r>
            <w:r w:rsidRPr="00FA0BE3">
              <w:rPr>
                <w:rFonts w:ascii="Times New Roman" w:eastAsia="Times New Roman" w:hAnsi="Times New Roman" w:cs="Times New Roman"/>
              </w:rPr>
              <w:t>–</w:t>
            </w:r>
            <w:r w:rsidRPr="00FA0BE3">
              <w:rPr>
                <w:rFonts w:ascii="Times New Roman" w:eastAsia="Times New Roman" w:hAnsi="Times New Roman" w:cs="Times New Roman"/>
                <w:lang w:eastAsia="en-GB"/>
              </w:rPr>
              <w:t xml:space="preserve"> Finansų ministerija) 2025 m. liepos 23 d. raštu Nr. 2025/2-9815 „Dėl išaiškinimo perkant iš partnerių (kvietimas Nr. 10-032-P)“, nustatyta, kad mokslo ir studijų institucijos (toliau </w:t>
            </w:r>
            <w:r w:rsidRPr="00FA0BE3">
              <w:rPr>
                <w:rFonts w:ascii="Times New Roman" w:eastAsia="Times New Roman" w:hAnsi="Times New Roman" w:cs="Times New Roman"/>
              </w:rPr>
              <w:t>–</w:t>
            </w:r>
            <w:r w:rsidRPr="00FA0BE3">
              <w:rPr>
                <w:rFonts w:ascii="Times New Roman" w:eastAsia="Times New Roman" w:hAnsi="Times New Roman" w:cs="Times New Roman"/>
                <w:lang w:eastAsia="en-GB"/>
              </w:rPr>
              <w:t xml:space="preserve"> MSI) negali dalyvauti tame pačiame PĮP kaip partneriai tais atvejais, kai projekto partneriams teikia MTEP paslaugas.</w:t>
            </w:r>
          </w:p>
          <w:p w14:paraId="79AB4A6A" w14:textId="77777777" w:rsidR="00FA0BE3" w:rsidRPr="00FA0BE3" w:rsidRDefault="00FA0BE3" w:rsidP="00FA0BE3">
            <w:pPr>
              <w:spacing w:line="276" w:lineRule="auto"/>
              <w:ind w:firstLine="720"/>
              <w:jc w:val="both"/>
              <w:rPr>
                <w:rFonts w:ascii="Times New Roman" w:eastAsia="Times New Roman" w:hAnsi="Times New Roman" w:cs="Times New Roman"/>
                <w:lang w:eastAsia="en-GB"/>
              </w:rPr>
            </w:pPr>
            <w:r w:rsidRPr="00FA0BE3">
              <w:rPr>
                <w:rFonts w:ascii="Times New Roman" w:eastAsia="Times New Roman" w:hAnsi="Times New Roman" w:cs="Times New Roman"/>
                <w:lang w:eastAsia="en-GB"/>
              </w:rPr>
              <w:t xml:space="preserve">PFSA nustatyta, kad tinkamas partneris yra MSI, o taip pat yra nustatyta, kad tinkamos išlaidos yra MTEP paslaugos, tačiau nenumato, kaip šios dvi nuostatos turėtų būti suderinamos atrenkant partnerius: ar MSI turėtų projekte dalyvauti kaip partneris ar kaip MTEP paslaugų teikėjas. Šio klaidinančio reguliavimo pasekmės pasimatė I kvietimo metu, nes partneriai partnerių atrankos metu teikdami individualius MTEP projektus neturi informacijos apie visas projekte dalyvaujančias MSI, tad CPVA patvirtinus PĮP, įmonės yra priverstos keisti suplanuotus tiekėjus, nes nebegali paslaugų </w:t>
            </w:r>
            <w:r w:rsidRPr="00FA0BE3">
              <w:rPr>
                <w:rFonts w:ascii="Times New Roman" w:eastAsia="Times New Roman" w:hAnsi="Times New Roman" w:cs="Times New Roman"/>
                <w:lang w:eastAsia="en-GB"/>
              </w:rPr>
              <w:lastRenderedPageBreak/>
              <w:t xml:space="preserve">iš MSI dėl to, kad jis yra projekto partneris. Dažnu atveju MSI būna vienintelis tiekėjas, galintis </w:t>
            </w:r>
            <w:proofErr w:type="spellStart"/>
            <w:r w:rsidRPr="00FA0BE3">
              <w:rPr>
                <w:rFonts w:ascii="Times New Roman" w:eastAsia="Times New Roman" w:hAnsi="Times New Roman" w:cs="Times New Roman"/>
                <w:lang w:eastAsia="en-GB"/>
              </w:rPr>
              <w:t>atžalinei</w:t>
            </w:r>
            <w:proofErr w:type="spellEnd"/>
            <w:r w:rsidRPr="00FA0BE3">
              <w:rPr>
                <w:rFonts w:ascii="Times New Roman" w:eastAsia="Times New Roman" w:hAnsi="Times New Roman" w:cs="Times New Roman"/>
                <w:lang w:eastAsia="en-GB"/>
              </w:rPr>
              <w:t xml:space="preserve"> įmonei suteikti reikiamas prekes ir (ar) paslaugas rinkoje. </w:t>
            </w:r>
          </w:p>
          <w:p w14:paraId="3B52AAB6" w14:textId="77777777" w:rsidR="00FA0BE3" w:rsidRPr="00FA0BE3" w:rsidRDefault="00FA0BE3" w:rsidP="00FA0BE3">
            <w:pPr>
              <w:spacing w:line="276" w:lineRule="auto"/>
              <w:ind w:firstLine="720"/>
              <w:jc w:val="both"/>
              <w:rPr>
                <w:rFonts w:ascii="Times New Roman" w:eastAsia="Times New Roman" w:hAnsi="Times New Roman" w:cs="Times New Roman"/>
                <w:lang w:eastAsia="en-GB"/>
              </w:rPr>
            </w:pPr>
            <w:r w:rsidRPr="00FA0BE3">
              <w:rPr>
                <w:rFonts w:ascii="Times New Roman" w:eastAsia="Times New Roman" w:hAnsi="Times New Roman" w:cs="Times New Roman"/>
                <w:lang w:eastAsia="en-GB"/>
              </w:rPr>
              <w:t>LMT vertinimu, būtent ŠMSM, kaip priemonės valdytojas turi aiškiai ir nedviprasmiškai išaiškinti, kaip turi būti taikomos PFSA nuostatos</w:t>
            </w:r>
            <w:r w:rsidRPr="00140789">
              <w:rPr>
                <w:rFonts w:ascii="Times New Roman" w:eastAsia="Times New Roman" w:hAnsi="Times New Roman" w:cs="Times New Roman"/>
                <w:lang w:eastAsia="en-GB"/>
              </w:rPr>
              <w:t>. Siūlome ŠMSM priimti sprendimą ir nustatyti, ar MSI projekte gali dalyvauti kaip partneris ar kaip MTEP paslaugos teikėjas.</w:t>
            </w:r>
          </w:p>
          <w:p w14:paraId="29125B2A" w14:textId="0C166A6F" w:rsidR="00215127" w:rsidRPr="00481355" w:rsidRDefault="00FA0BE3" w:rsidP="00481355">
            <w:pPr>
              <w:spacing w:line="276" w:lineRule="auto"/>
              <w:ind w:firstLine="720"/>
              <w:jc w:val="both"/>
              <w:rPr>
                <w:rFonts w:ascii="Times New Roman" w:eastAsia="Times New Roman" w:hAnsi="Times New Roman" w:cs="Times New Roman"/>
              </w:rPr>
            </w:pPr>
            <w:r w:rsidRPr="00FA0BE3">
              <w:rPr>
                <w:rFonts w:ascii="Times New Roman" w:eastAsia="Times New Roman" w:hAnsi="Times New Roman" w:cs="Times New Roman"/>
              </w:rPr>
              <w:t xml:space="preserve">LMT siūlo atsižvelgti į CPVA rekomendacijas ir patikslinti </w:t>
            </w:r>
            <w:proofErr w:type="spellStart"/>
            <w:r w:rsidRPr="00FA0BE3">
              <w:rPr>
                <w:rFonts w:ascii="Times New Roman" w:eastAsia="Times New Roman" w:hAnsi="Times New Roman" w:cs="Times New Roman"/>
              </w:rPr>
              <w:t>poveiklės</w:t>
            </w:r>
            <w:proofErr w:type="spellEnd"/>
            <w:r w:rsidRPr="00FA0BE3">
              <w:rPr>
                <w:rFonts w:ascii="Times New Roman" w:eastAsia="Times New Roman" w:hAnsi="Times New Roman" w:cs="Times New Roman"/>
              </w:rPr>
              <w:t xml:space="preserve"> formuluotę, siekiant  sudaryti sąlygas efektyvesniam ir operatyvesniam LMT veiklų tinkamumo finansuoti vertinimui. </w:t>
            </w:r>
          </w:p>
        </w:tc>
        <w:tc>
          <w:tcPr>
            <w:tcW w:w="4570" w:type="dxa"/>
          </w:tcPr>
          <w:p w14:paraId="5429E042" w14:textId="162EC756" w:rsidR="001A5542" w:rsidRDefault="001A5542" w:rsidP="001A5542">
            <w:pPr>
              <w:ind w:firstLine="599"/>
              <w:jc w:val="both"/>
              <w:rPr>
                <w:rFonts w:ascii="Times New Roman" w:eastAsia="Times New Roman" w:hAnsi="Times New Roman" w:cs="Times New Roman"/>
                <w:b/>
                <w:bCs/>
              </w:rPr>
            </w:pPr>
            <w:r w:rsidRPr="001A5542">
              <w:rPr>
                <w:rFonts w:ascii="Times New Roman" w:eastAsia="Times New Roman" w:hAnsi="Times New Roman" w:cs="Times New Roman"/>
                <w:b/>
                <w:bCs/>
              </w:rPr>
              <w:lastRenderedPageBreak/>
              <w:t>Teikiamas paaiškinimas.</w:t>
            </w:r>
          </w:p>
          <w:p w14:paraId="48BF7B61" w14:textId="35B50859" w:rsidR="00AB1C54" w:rsidRPr="00B31594" w:rsidRDefault="004B44AC" w:rsidP="00AB1C54">
            <w:pPr>
              <w:ind w:firstLine="599"/>
              <w:jc w:val="both"/>
              <w:rPr>
                <w:rFonts w:ascii="Times New Roman" w:eastAsia="Times New Roman" w:hAnsi="Times New Roman" w:cs="Times New Roman"/>
              </w:rPr>
            </w:pPr>
            <w:r w:rsidRPr="00B31594">
              <w:rPr>
                <w:rFonts w:ascii="Times New Roman" w:eastAsia="Times New Roman" w:hAnsi="Times New Roman" w:cs="Times New Roman"/>
              </w:rPr>
              <w:t xml:space="preserve">Pagal PFSA Nr. 12 nuostatas mokslo ir studijų institucijos gali būti ir partneriais, ir </w:t>
            </w:r>
            <w:r w:rsidR="00B31594" w:rsidRPr="00B31594">
              <w:rPr>
                <w:rFonts w:ascii="Times New Roman" w:eastAsia="Times New Roman" w:hAnsi="Times New Roman" w:cs="Times New Roman"/>
              </w:rPr>
              <w:t xml:space="preserve">MTEP paslaugų teikėjais, tačiau ta pati mokslo ir studijų institucija negali projekte dalyvauti kaip partneris </w:t>
            </w:r>
            <w:r w:rsidR="00B31594">
              <w:rPr>
                <w:rFonts w:ascii="Times New Roman" w:eastAsia="Times New Roman" w:hAnsi="Times New Roman" w:cs="Times New Roman"/>
              </w:rPr>
              <w:t>vienoje projekto veikloje ir</w:t>
            </w:r>
            <w:r w:rsidR="00B31594" w:rsidRPr="00B31594">
              <w:rPr>
                <w:rFonts w:ascii="Times New Roman" w:eastAsia="Times New Roman" w:hAnsi="Times New Roman" w:cs="Times New Roman"/>
              </w:rPr>
              <w:t xml:space="preserve"> kaip MTEP paslaugos teikėjas</w:t>
            </w:r>
            <w:r w:rsidR="00B31594">
              <w:rPr>
                <w:rFonts w:ascii="Times New Roman" w:eastAsia="Times New Roman" w:hAnsi="Times New Roman" w:cs="Times New Roman"/>
              </w:rPr>
              <w:t xml:space="preserve"> kitoje projekto veikloje.</w:t>
            </w:r>
            <w:r w:rsidR="00AB1C54">
              <w:rPr>
                <w:rFonts w:ascii="Times New Roman" w:eastAsia="Times New Roman" w:hAnsi="Times New Roman" w:cs="Times New Roman"/>
              </w:rPr>
              <w:t xml:space="preserve"> Nors PFSA Nr. 12 nurodyta, kad p</w:t>
            </w:r>
            <w:r w:rsidR="00AB1C54" w:rsidRPr="00AB1C54">
              <w:rPr>
                <w:rFonts w:ascii="Times New Roman" w:eastAsia="Times New Roman" w:hAnsi="Times New Roman" w:cs="Times New Roman"/>
              </w:rPr>
              <w:t>lanuojamos išlaidos turi atitikti Projektų administravimo ir finansavimo taisyklių VII skyriuje nustatytus projektų išlaidoms taikomus reikalavimus</w:t>
            </w:r>
            <w:r w:rsidR="00AB1C54">
              <w:rPr>
                <w:rFonts w:ascii="Times New Roman" w:eastAsia="Times New Roman" w:hAnsi="Times New Roman" w:cs="Times New Roman"/>
              </w:rPr>
              <w:t xml:space="preserve"> (nurodyto skyriaus </w:t>
            </w:r>
            <w:r w:rsidR="00AB1C54" w:rsidRPr="00AB1C54">
              <w:rPr>
                <w:rFonts w:ascii="Times New Roman" w:eastAsia="Times New Roman" w:hAnsi="Times New Roman" w:cs="Times New Roman"/>
              </w:rPr>
              <w:t>308.6 papun</w:t>
            </w:r>
            <w:r w:rsidR="00AB1C54">
              <w:rPr>
                <w:rFonts w:ascii="Times New Roman" w:eastAsia="Times New Roman" w:hAnsi="Times New Roman" w:cs="Times New Roman"/>
              </w:rPr>
              <w:t>ktyje nustatyta, kad į</w:t>
            </w:r>
            <w:r w:rsidR="00AB1C54" w:rsidRPr="00AB1C54">
              <w:rPr>
                <w:rFonts w:ascii="Times New Roman" w:eastAsia="Times New Roman" w:hAnsi="Times New Roman" w:cs="Times New Roman"/>
              </w:rPr>
              <w:t>gyvendinant projektus, visais atvejais netinkamomis finansuoti išlaidomis laiko</w:t>
            </w:r>
            <w:r w:rsidR="00227768">
              <w:rPr>
                <w:rFonts w:ascii="Times New Roman" w:eastAsia="Times New Roman" w:hAnsi="Times New Roman" w:cs="Times New Roman"/>
              </w:rPr>
              <w:t xml:space="preserve">mos </w:t>
            </w:r>
            <w:r w:rsidR="00AB1C54" w:rsidRPr="00AB1C54">
              <w:rPr>
                <w:rFonts w:ascii="Times New Roman" w:eastAsia="Times New Roman" w:hAnsi="Times New Roman" w:cs="Times New Roman"/>
              </w:rPr>
              <w:lastRenderedPageBreak/>
              <w:t>išlaidos, patirtos iš projekto partnerio įsigyjant p</w:t>
            </w:r>
            <w:r w:rsidR="00227768">
              <w:rPr>
                <w:rFonts w:ascii="Times New Roman" w:eastAsia="Times New Roman" w:hAnsi="Times New Roman" w:cs="Times New Roman"/>
              </w:rPr>
              <w:t>aslaugas), siekiant aiškumo Ministerija planuoja PFSA Nr. 12 keitimo projekto 16.8.1 papunktį papildyti nuostata, kad jei</w:t>
            </w:r>
            <w:r w:rsidR="00963240">
              <w:rPr>
                <w:rFonts w:ascii="Times New Roman" w:eastAsia="Times New Roman" w:hAnsi="Times New Roman" w:cs="Times New Roman"/>
              </w:rPr>
              <w:t>gu</w:t>
            </w:r>
            <w:r w:rsidR="00227768">
              <w:rPr>
                <w:rFonts w:ascii="Times New Roman" w:eastAsia="Times New Roman" w:hAnsi="Times New Roman" w:cs="Times New Roman"/>
              </w:rPr>
              <w:t xml:space="preserve"> mokslo ir studijų institucija tam tikroje projekto veikloje dalyvauja kaip parneris, ji negali būti MTEP paslaugų teikėja kitoje projekto veikloje.</w:t>
            </w:r>
          </w:p>
          <w:p w14:paraId="582E8843" w14:textId="77777777" w:rsidR="00185D84" w:rsidRPr="00185D84" w:rsidRDefault="00B31594" w:rsidP="00185D84">
            <w:pPr>
              <w:ind w:firstLine="603"/>
              <w:jc w:val="both"/>
              <w:rPr>
                <w:rFonts w:ascii="Times New Roman" w:eastAsia="Times New Roman" w:hAnsi="Times New Roman" w:cs="Times New Roman"/>
              </w:rPr>
            </w:pPr>
            <w:r>
              <w:rPr>
                <w:rFonts w:ascii="Times New Roman" w:eastAsia="Times New Roman" w:hAnsi="Times New Roman" w:cs="Times New Roman"/>
              </w:rPr>
              <w:t>M</w:t>
            </w:r>
            <w:r w:rsidR="00701781" w:rsidRPr="00701781">
              <w:rPr>
                <w:rFonts w:ascii="Times New Roman" w:eastAsia="Times New Roman" w:hAnsi="Times New Roman" w:cs="Times New Roman"/>
              </w:rPr>
              <w:t xml:space="preserve">inisterija </w:t>
            </w:r>
            <w:r w:rsidR="00227768">
              <w:rPr>
                <w:rFonts w:ascii="Times New Roman" w:eastAsia="Times New Roman" w:hAnsi="Times New Roman" w:cs="Times New Roman"/>
              </w:rPr>
              <w:t>jau buvo</w:t>
            </w:r>
            <w:r w:rsidR="00701781" w:rsidRPr="00701781">
              <w:rPr>
                <w:rFonts w:ascii="Times New Roman" w:eastAsia="Times New Roman" w:hAnsi="Times New Roman" w:cs="Times New Roman"/>
              </w:rPr>
              <w:t xml:space="preserve"> informuota apie nurodytą problematiką</w:t>
            </w:r>
            <w:r w:rsidR="00227768">
              <w:rPr>
                <w:rFonts w:ascii="Times New Roman" w:eastAsia="Times New Roman" w:hAnsi="Times New Roman" w:cs="Times New Roman"/>
              </w:rPr>
              <w:t xml:space="preserve">, kad partnerių atrankoje dalyvaujantis subjektai nežino, kokius partnerius ar galimus MTEP paslaugų teikėjus į savo </w:t>
            </w:r>
            <w:r w:rsidR="007C5722">
              <w:rPr>
                <w:rFonts w:ascii="Times New Roman" w:eastAsia="Times New Roman" w:hAnsi="Times New Roman" w:cs="Times New Roman"/>
              </w:rPr>
              <w:t xml:space="preserve">planuojamas projekto </w:t>
            </w:r>
            <w:r w:rsidR="00227768">
              <w:rPr>
                <w:rFonts w:ascii="Times New Roman" w:eastAsia="Times New Roman" w:hAnsi="Times New Roman" w:cs="Times New Roman"/>
              </w:rPr>
              <w:t>veiklas yra įtraukę kiti atrankos dalyviai</w:t>
            </w:r>
            <w:r w:rsidR="00701781" w:rsidRPr="00701781">
              <w:rPr>
                <w:rFonts w:ascii="Times New Roman" w:eastAsia="Times New Roman" w:hAnsi="Times New Roman" w:cs="Times New Roman"/>
              </w:rPr>
              <w:t xml:space="preserve">. Atkreipiame dėmesį, kad 2025 m. lapkričio 19 d. </w:t>
            </w:r>
            <w:r w:rsidR="00227768">
              <w:rPr>
                <w:rFonts w:ascii="Times New Roman" w:eastAsia="Times New Roman" w:hAnsi="Times New Roman" w:cs="Times New Roman"/>
              </w:rPr>
              <w:t>M</w:t>
            </w:r>
            <w:r w:rsidR="00701781" w:rsidRPr="00701781">
              <w:rPr>
                <w:rFonts w:ascii="Times New Roman" w:eastAsia="Times New Roman" w:hAnsi="Times New Roman" w:cs="Times New Roman"/>
              </w:rPr>
              <w:t xml:space="preserve">inisterija inicijavo susitikimą „Microsoft </w:t>
            </w:r>
            <w:proofErr w:type="spellStart"/>
            <w:r w:rsidR="00701781" w:rsidRPr="00701781">
              <w:rPr>
                <w:rFonts w:ascii="Times New Roman" w:eastAsia="Times New Roman" w:hAnsi="Times New Roman" w:cs="Times New Roman"/>
              </w:rPr>
              <w:t>Teams</w:t>
            </w:r>
            <w:proofErr w:type="spellEnd"/>
            <w:r w:rsidR="00701781" w:rsidRPr="00701781">
              <w:rPr>
                <w:rFonts w:ascii="Times New Roman" w:eastAsia="Times New Roman" w:hAnsi="Times New Roman" w:cs="Times New Roman"/>
              </w:rPr>
              <w:t xml:space="preserve">“ platformoje, kuriame dalyvavo Lietuvos mokslo tarybos, mokslo ir studijų institucijų bei </w:t>
            </w:r>
            <w:r w:rsidR="00227768">
              <w:rPr>
                <w:rFonts w:ascii="Times New Roman" w:eastAsia="Times New Roman" w:hAnsi="Times New Roman" w:cs="Times New Roman"/>
              </w:rPr>
              <w:t>CPVA</w:t>
            </w:r>
            <w:r w:rsidR="00701781" w:rsidRPr="00701781">
              <w:rPr>
                <w:rFonts w:ascii="Times New Roman" w:eastAsia="Times New Roman" w:hAnsi="Times New Roman" w:cs="Times New Roman"/>
              </w:rPr>
              <w:t xml:space="preserve"> atstovai. Susitikimo metu </w:t>
            </w:r>
            <w:r w:rsidR="00701781">
              <w:rPr>
                <w:rFonts w:ascii="Times New Roman" w:eastAsia="Times New Roman" w:hAnsi="Times New Roman" w:cs="Times New Roman"/>
              </w:rPr>
              <w:t xml:space="preserve">buvo </w:t>
            </w:r>
            <w:r w:rsidR="00701781" w:rsidRPr="00701781">
              <w:rPr>
                <w:rFonts w:ascii="Times New Roman" w:eastAsia="Times New Roman" w:hAnsi="Times New Roman" w:cs="Times New Roman"/>
              </w:rPr>
              <w:t xml:space="preserve">aptarti su šiuo klausimu susiję </w:t>
            </w:r>
            <w:r w:rsidR="00701781">
              <w:rPr>
                <w:rFonts w:ascii="Times New Roman" w:eastAsia="Times New Roman" w:hAnsi="Times New Roman" w:cs="Times New Roman"/>
              </w:rPr>
              <w:t>sprendimo variantai</w:t>
            </w:r>
            <w:r w:rsidR="00701781" w:rsidRPr="00701781">
              <w:rPr>
                <w:rFonts w:ascii="Times New Roman" w:eastAsia="Times New Roman" w:hAnsi="Times New Roman" w:cs="Times New Roman"/>
              </w:rPr>
              <w:t>.</w:t>
            </w:r>
            <w:r w:rsidR="00227768">
              <w:rPr>
                <w:rFonts w:ascii="Times New Roman" w:eastAsia="Times New Roman" w:hAnsi="Times New Roman" w:cs="Times New Roman"/>
              </w:rPr>
              <w:t xml:space="preserve"> </w:t>
            </w:r>
            <w:r w:rsidR="00185D84" w:rsidRPr="00185D84">
              <w:rPr>
                <w:rFonts w:ascii="Times New Roman" w:eastAsia="Times New Roman" w:hAnsi="Times New Roman" w:cs="Times New Roman"/>
              </w:rPr>
              <w:t>Ministerijos nuomone, susiklosčius aplinkybėms, kai tam tikra mokslo ir studijų institucija yra vienintelė reikiamos MTEP paslaugos teikėja, tokie atvejai ir jų sprendimo būdai gali būti nagrinėjami atskirai su administruojančiąją ir vadovaujančiąja institucija.</w:t>
            </w:r>
          </w:p>
          <w:p w14:paraId="40401C0C" w14:textId="5B0E84CA" w:rsidR="00DD031E" w:rsidRPr="00CE2DD8" w:rsidRDefault="00185D84" w:rsidP="00185D84">
            <w:pPr>
              <w:ind w:firstLine="603"/>
              <w:jc w:val="both"/>
              <w:rPr>
                <w:rFonts w:ascii="Times New Roman" w:eastAsia="Times New Roman" w:hAnsi="Times New Roman" w:cs="Times New Roman"/>
              </w:rPr>
            </w:pPr>
            <w:r w:rsidRPr="00185D84">
              <w:rPr>
                <w:rFonts w:ascii="Times New Roman" w:eastAsia="Times New Roman" w:hAnsi="Times New Roman" w:cs="Times New Roman"/>
              </w:rPr>
              <w:t>Atkreipiame dėmesį, kad PFSA Nr. 12 projektas dar bus derinamas su CPVA ir Finansų ministerija 2021–2027 metų Europos Sąjungos fondų investicijų programos ir Ekonomikos gaivinimo ir atsparumo didinimo plano „Naujos kartos Lietuva“ administravimo taisyklių</w:t>
            </w:r>
            <w:r w:rsidR="00894864">
              <w:rPr>
                <w:rStyle w:val="Puslapioinaosnuoroda"/>
                <w:rFonts w:ascii="Times New Roman" w:eastAsia="Times New Roman" w:hAnsi="Times New Roman" w:cs="Times New Roman"/>
              </w:rPr>
              <w:footnoteReference w:id="2"/>
            </w:r>
            <w:r w:rsidRPr="00185D84">
              <w:rPr>
                <w:rFonts w:ascii="Times New Roman" w:eastAsia="Times New Roman" w:hAnsi="Times New Roman" w:cs="Times New Roman"/>
              </w:rPr>
              <w:t xml:space="preserve"> nustatyta tvarka.</w:t>
            </w:r>
          </w:p>
        </w:tc>
      </w:tr>
      <w:bookmarkEnd w:id="2"/>
    </w:tbl>
    <w:p w14:paraId="09FF4004" w14:textId="3263BC61" w:rsidR="00821A84" w:rsidRPr="00FF29FD" w:rsidRDefault="00821A84" w:rsidP="00C65198">
      <w:pPr>
        <w:suppressAutoHyphens/>
        <w:autoSpaceDE w:val="0"/>
        <w:autoSpaceDN w:val="0"/>
        <w:adjustRightInd w:val="0"/>
        <w:spacing w:after="0" w:line="240" w:lineRule="auto"/>
        <w:textAlignment w:val="center"/>
        <w:rPr>
          <w:rFonts w:ascii="Times New Roman" w:eastAsia="Times New Roman" w:hAnsi="Times New Roman" w:cs="Times New Roman"/>
          <w:color w:val="000000"/>
          <w:kern w:val="0"/>
          <w14:ligatures w14:val="none"/>
        </w:rPr>
      </w:pPr>
    </w:p>
    <w:p w14:paraId="5BE0BC23" w14:textId="117DB277" w:rsidR="00821A84" w:rsidRPr="00FF29FD" w:rsidRDefault="00FF29FD" w:rsidP="00FF29FD">
      <w:pPr>
        <w:jc w:val="center"/>
        <w:rPr>
          <w:rFonts w:ascii="Times New Roman" w:hAnsi="Times New Roman" w:cs="Times New Roman"/>
        </w:rPr>
      </w:pPr>
      <w:r>
        <w:rPr>
          <w:rFonts w:ascii="Times New Roman" w:hAnsi="Times New Roman" w:cs="Times New Roman"/>
        </w:rPr>
        <w:t>_______________</w:t>
      </w:r>
    </w:p>
    <w:sectPr w:rsidR="00821A84" w:rsidRPr="00FF29FD" w:rsidSect="00821A84">
      <w:headerReference w:type="default" r:id="rId9"/>
      <w:pgSz w:w="16838" w:h="11906" w:orient="landscape"/>
      <w:pgMar w:top="993"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51C29" w14:textId="77777777" w:rsidR="006F7A23" w:rsidRDefault="006F7A23">
      <w:pPr>
        <w:spacing w:after="0" w:line="240" w:lineRule="auto"/>
      </w:pPr>
      <w:r>
        <w:separator/>
      </w:r>
    </w:p>
  </w:endnote>
  <w:endnote w:type="continuationSeparator" w:id="0">
    <w:p w14:paraId="58AB2439" w14:textId="77777777" w:rsidR="006F7A23" w:rsidRDefault="006F7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altName w:val="Times New Roman"/>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0F603" w14:textId="77777777" w:rsidR="006F7A23" w:rsidRDefault="006F7A23">
      <w:pPr>
        <w:spacing w:after="0" w:line="240" w:lineRule="auto"/>
      </w:pPr>
      <w:r>
        <w:separator/>
      </w:r>
    </w:p>
  </w:footnote>
  <w:footnote w:type="continuationSeparator" w:id="0">
    <w:p w14:paraId="16160204" w14:textId="77777777" w:rsidR="006F7A23" w:rsidRDefault="006F7A23">
      <w:pPr>
        <w:spacing w:after="0" w:line="240" w:lineRule="auto"/>
      </w:pPr>
      <w:r>
        <w:continuationSeparator/>
      </w:r>
    </w:p>
  </w:footnote>
  <w:footnote w:id="1">
    <w:p w14:paraId="7007A177" w14:textId="17E92A48" w:rsidR="008012B6" w:rsidRPr="00452599" w:rsidRDefault="008012B6">
      <w:pPr>
        <w:pStyle w:val="Puslapioinaostekstas"/>
        <w:rPr>
          <w:rFonts w:ascii="Times New Roman" w:hAnsi="Times New Roman" w:cs="Times New Roman"/>
        </w:rPr>
      </w:pPr>
      <w:r w:rsidRPr="00452599">
        <w:rPr>
          <w:rStyle w:val="Puslapioinaosnuoroda"/>
          <w:rFonts w:ascii="Times New Roman" w:hAnsi="Times New Roman" w:cs="Times New Roman"/>
        </w:rPr>
        <w:footnoteRef/>
      </w:r>
      <w:r w:rsidRPr="00452599">
        <w:rPr>
          <w:rFonts w:ascii="Times New Roman" w:hAnsi="Times New Roman" w:cs="Times New Roman"/>
        </w:rPr>
        <w:t xml:space="preserve"> </w:t>
      </w:r>
      <w:hyperlink r:id="rId1" w:history="1">
        <w:r w:rsidR="004614F1" w:rsidRPr="00452599">
          <w:rPr>
            <w:rStyle w:val="Hipersaitas"/>
            <w:rFonts w:ascii="Times New Roman" w:hAnsi="Times New Roman" w:cs="Times New Roman"/>
          </w:rPr>
          <w:t>https://www.e-tar.lt/portal/lt/legalAct/985b21e01e1111edb4cae1b158f98ea5/asr</w:t>
        </w:r>
      </w:hyperlink>
    </w:p>
  </w:footnote>
  <w:footnote w:id="2">
    <w:p w14:paraId="57092A73" w14:textId="434802A6" w:rsidR="00894864" w:rsidRPr="00F67BE1" w:rsidRDefault="00894864">
      <w:pPr>
        <w:pStyle w:val="Puslapioinaostekstas"/>
        <w:rPr>
          <w:rFonts w:ascii="Times New Roman" w:hAnsi="Times New Roman" w:cs="Times New Roman"/>
        </w:rPr>
      </w:pPr>
      <w:r w:rsidRPr="00F67BE1">
        <w:rPr>
          <w:rStyle w:val="Puslapioinaosnuoroda"/>
          <w:rFonts w:ascii="Times New Roman" w:hAnsi="Times New Roman" w:cs="Times New Roman"/>
        </w:rPr>
        <w:footnoteRef/>
      </w:r>
      <w:r w:rsidRPr="00F67BE1">
        <w:rPr>
          <w:rFonts w:ascii="Times New Roman" w:hAnsi="Times New Roman" w:cs="Times New Roman"/>
        </w:rPr>
        <w:t xml:space="preserve"> </w:t>
      </w:r>
      <w:r w:rsidR="002C1123" w:rsidRPr="00F67BE1">
        <w:rPr>
          <w:rFonts w:ascii="Times New Roman" w:hAnsi="Times New Roman" w:cs="Times New Roman"/>
        </w:rPr>
        <w:t>https://www.e-tar.lt/portal/lt/legalAct/14e33320f1ed11ec8fa7d02a65c371ad/asr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971449"/>
      <w:docPartObj>
        <w:docPartGallery w:val="Page Numbers (Top of Page)"/>
        <w:docPartUnique/>
      </w:docPartObj>
    </w:sdtPr>
    <w:sdtContent>
      <w:p w14:paraId="20477E52" w14:textId="77777777" w:rsidR="00821A84" w:rsidRDefault="00821A84">
        <w:pPr>
          <w:pStyle w:val="Antrats"/>
          <w:jc w:val="center"/>
        </w:pPr>
        <w:r>
          <w:fldChar w:fldCharType="begin"/>
        </w:r>
        <w:r>
          <w:instrText>PAGE   \* MERGEFORMAT</w:instrText>
        </w:r>
        <w:r>
          <w:fldChar w:fldCharType="separate"/>
        </w:r>
        <w:r>
          <w:t>2</w:t>
        </w:r>
        <w:r>
          <w:fldChar w:fldCharType="end"/>
        </w:r>
      </w:p>
    </w:sdtContent>
  </w:sdt>
  <w:p w14:paraId="71C5D159" w14:textId="77777777" w:rsidR="00821A84" w:rsidRDefault="00821A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7165C"/>
    <w:multiLevelType w:val="hybridMultilevel"/>
    <w:tmpl w:val="598E3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6417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A84"/>
    <w:rsid w:val="0001003B"/>
    <w:rsid w:val="00011262"/>
    <w:rsid w:val="00042A05"/>
    <w:rsid w:val="00076733"/>
    <w:rsid w:val="00093CFF"/>
    <w:rsid w:val="000B7FB7"/>
    <w:rsid w:val="000C7D90"/>
    <w:rsid w:val="000E0F20"/>
    <w:rsid w:val="000E208E"/>
    <w:rsid w:val="000E371E"/>
    <w:rsid w:val="001342FF"/>
    <w:rsid w:val="00140789"/>
    <w:rsid w:val="00153BE7"/>
    <w:rsid w:val="00165C4B"/>
    <w:rsid w:val="00185D84"/>
    <w:rsid w:val="0018789C"/>
    <w:rsid w:val="001A5542"/>
    <w:rsid w:val="001B009A"/>
    <w:rsid w:val="001B6DD1"/>
    <w:rsid w:val="001D719B"/>
    <w:rsid w:val="001E4EEF"/>
    <w:rsid w:val="00215127"/>
    <w:rsid w:val="00216AC6"/>
    <w:rsid w:val="00227768"/>
    <w:rsid w:val="00245922"/>
    <w:rsid w:val="00264D39"/>
    <w:rsid w:val="0028733D"/>
    <w:rsid w:val="002C1123"/>
    <w:rsid w:val="002D2762"/>
    <w:rsid w:val="002F21C4"/>
    <w:rsid w:val="002F2284"/>
    <w:rsid w:val="002F270D"/>
    <w:rsid w:val="003067AF"/>
    <w:rsid w:val="003503DD"/>
    <w:rsid w:val="00365AE2"/>
    <w:rsid w:val="00396867"/>
    <w:rsid w:val="003E056D"/>
    <w:rsid w:val="003F71A0"/>
    <w:rsid w:val="0040592E"/>
    <w:rsid w:val="0040616F"/>
    <w:rsid w:val="00413172"/>
    <w:rsid w:val="00420A6A"/>
    <w:rsid w:val="00427900"/>
    <w:rsid w:val="0044068C"/>
    <w:rsid w:val="00452599"/>
    <w:rsid w:val="004614F1"/>
    <w:rsid w:val="004662E5"/>
    <w:rsid w:val="00481355"/>
    <w:rsid w:val="00491F86"/>
    <w:rsid w:val="004B44AC"/>
    <w:rsid w:val="004D57A3"/>
    <w:rsid w:val="004E0C48"/>
    <w:rsid w:val="005310F8"/>
    <w:rsid w:val="00557575"/>
    <w:rsid w:val="005620DF"/>
    <w:rsid w:val="0059615A"/>
    <w:rsid w:val="005A4C49"/>
    <w:rsid w:val="005B56A6"/>
    <w:rsid w:val="005C2584"/>
    <w:rsid w:val="005D0B16"/>
    <w:rsid w:val="005E57F0"/>
    <w:rsid w:val="005E7C16"/>
    <w:rsid w:val="00612845"/>
    <w:rsid w:val="006251AA"/>
    <w:rsid w:val="00636D08"/>
    <w:rsid w:val="00637EAE"/>
    <w:rsid w:val="0064125D"/>
    <w:rsid w:val="006523EC"/>
    <w:rsid w:val="00665FDC"/>
    <w:rsid w:val="006800C7"/>
    <w:rsid w:val="00691F58"/>
    <w:rsid w:val="006A40D7"/>
    <w:rsid w:val="006A5650"/>
    <w:rsid w:val="006B7B38"/>
    <w:rsid w:val="006C0A01"/>
    <w:rsid w:val="006F3707"/>
    <w:rsid w:val="006F7A23"/>
    <w:rsid w:val="00701781"/>
    <w:rsid w:val="00714FBA"/>
    <w:rsid w:val="00724729"/>
    <w:rsid w:val="007333E1"/>
    <w:rsid w:val="0074062A"/>
    <w:rsid w:val="00746341"/>
    <w:rsid w:val="007506AB"/>
    <w:rsid w:val="007572A1"/>
    <w:rsid w:val="0076134C"/>
    <w:rsid w:val="00795684"/>
    <w:rsid w:val="00796FAF"/>
    <w:rsid w:val="007C4009"/>
    <w:rsid w:val="007C5722"/>
    <w:rsid w:val="007D1C28"/>
    <w:rsid w:val="007F2AED"/>
    <w:rsid w:val="007F46FA"/>
    <w:rsid w:val="008012B6"/>
    <w:rsid w:val="00801D1E"/>
    <w:rsid w:val="00802BB0"/>
    <w:rsid w:val="00821A84"/>
    <w:rsid w:val="0082240F"/>
    <w:rsid w:val="0083596B"/>
    <w:rsid w:val="008666EE"/>
    <w:rsid w:val="0088246B"/>
    <w:rsid w:val="00894864"/>
    <w:rsid w:val="008C2006"/>
    <w:rsid w:val="008C2A94"/>
    <w:rsid w:val="008E2E1D"/>
    <w:rsid w:val="008F4402"/>
    <w:rsid w:val="00936190"/>
    <w:rsid w:val="00963240"/>
    <w:rsid w:val="00967A9C"/>
    <w:rsid w:val="00975A78"/>
    <w:rsid w:val="009821F1"/>
    <w:rsid w:val="009A197F"/>
    <w:rsid w:val="009E0C88"/>
    <w:rsid w:val="00A14CAF"/>
    <w:rsid w:val="00A34A80"/>
    <w:rsid w:val="00A36383"/>
    <w:rsid w:val="00A36483"/>
    <w:rsid w:val="00A757BF"/>
    <w:rsid w:val="00A85EDB"/>
    <w:rsid w:val="00AB1C54"/>
    <w:rsid w:val="00AD717B"/>
    <w:rsid w:val="00AE6F2B"/>
    <w:rsid w:val="00AF0AD3"/>
    <w:rsid w:val="00AF4A1D"/>
    <w:rsid w:val="00B069F9"/>
    <w:rsid w:val="00B132FA"/>
    <w:rsid w:val="00B21C11"/>
    <w:rsid w:val="00B30134"/>
    <w:rsid w:val="00B31594"/>
    <w:rsid w:val="00B525C4"/>
    <w:rsid w:val="00B53A09"/>
    <w:rsid w:val="00B84042"/>
    <w:rsid w:val="00B95668"/>
    <w:rsid w:val="00BA0BEC"/>
    <w:rsid w:val="00BC3ABC"/>
    <w:rsid w:val="00C11A27"/>
    <w:rsid w:val="00C14213"/>
    <w:rsid w:val="00C46DD3"/>
    <w:rsid w:val="00C6194E"/>
    <w:rsid w:val="00C6413A"/>
    <w:rsid w:val="00C65198"/>
    <w:rsid w:val="00C73DE4"/>
    <w:rsid w:val="00CE0175"/>
    <w:rsid w:val="00CE2DD8"/>
    <w:rsid w:val="00CF3A34"/>
    <w:rsid w:val="00D00B52"/>
    <w:rsid w:val="00D223DF"/>
    <w:rsid w:val="00D73E80"/>
    <w:rsid w:val="00D76287"/>
    <w:rsid w:val="00D937F8"/>
    <w:rsid w:val="00D970C9"/>
    <w:rsid w:val="00DC05BE"/>
    <w:rsid w:val="00DC7DC7"/>
    <w:rsid w:val="00DD031E"/>
    <w:rsid w:val="00DE5062"/>
    <w:rsid w:val="00DF74F7"/>
    <w:rsid w:val="00E365DC"/>
    <w:rsid w:val="00E74751"/>
    <w:rsid w:val="00E811F0"/>
    <w:rsid w:val="00E91C10"/>
    <w:rsid w:val="00E927D5"/>
    <w:rsid w:val="00EB2F1F"/>
    <w:rsid w:val="00ED2B36"/>
    <w:rsid w:val="00EE341E"/>
    <w:rsid w:val="00EF1C98"/>
    <w:rsid w:val="00F06EEB"/>
    <w:rsid w:val="00F324F4"/>
    <w:rsid w:val="00F40189"/>
    <w:rsid w:val="00F5062B"/>
    <w:rsid w:val="00F67BE1"/>
    <w:rsid w:val="00FA0BE3"/>
    <w:rsid w:val="00FF29FD"/>
    <w:rsid w:val="00FF4C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5F024"/>
  <w15:chartTrackingRefBased/>
  <w15:docId w15:val="{40E65C2E-A9B5-4484-910F-F1689393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21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21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21A8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21A8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21A8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21A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21A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21A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21A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1A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21A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21A8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21A8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21A8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21A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1A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21A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1A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21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21A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1A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21A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1A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21A84"/>
    <w:rPr>
      <w:i/>
      <w:iCs/>
      <w:color w:val="404040" w:themeColor="text1" w:themeTint="BF"/>
    </w:rPr>
  </w:style>
  <w:style w:type="paragraph" w:styleId="Sraopastraipa">
    <w:name w:val="List Paragraph"/>
    <w:basedOn w:val="prastasis"/>
    <w:uiPriority w:val="34"/>
    <w:qFormat/>
    <w:rsid w:val="00821A84"/>
    <w:pPr>
      <w:ind w:left="720"/>
      <w:contextualSpacing/>
    </w:pPr>
  </w:style>
  <w:style w:type="character" w:styleId="Rykuspabraukimas">
    <w:name w:val="Intense Emphasis"/>
    <w:basedOn w:val="Numatytasispastraiposriftas"/>
    <w:uiPriority w:val="21"/>
    <w:qFormat/>
    <w:rsid w:val="00821A84"/>
    <w:rPr>
      <w:i/>
      <w:iCs/>
      <w:color w:val="0F4761" w:themeColor="accent1" w:themeShade="BF"/>
    </w:rPr>
  </w:style>
  <w:style w:type="paragraph" w:styleId="Iskirtacitata">
    <w:name w:val="Intense Quote"/>
    <w:basedOn w:val="prastasis"/>
    <w:next w:val="prastasis"/>
    <w:link w:val="IskirtacitataDiagrama"/>
    <w:uiPriority w:val="30"/>
    <w:qFormat/>
    <w:rsid w:val="00821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21A84"/>
    <w:rPr>
      <w:i/>
      <w:iCs/>
      <w:color w:val="0F4761" w:themeColor="accent1" w:themeShade="BF"/>
    </w:rPr>
  </w:style>
  <w:style w:type="character" w:styleId="Rykinuoroda">
    <w:name w:val="Intense Reference"/>
    <w:basedOn w:val="Numatytasispastraiposriftas"/>
    <w:uiPriority w:val="32"/>
    <w:qFormat/>
    <w:rsid w:val="00821A84"/>
    <w:rPr>
      <w:b/>
      <w:bCs/>
      <w:smallCaps/>
      <w:color w:val="0F4761" w:themeColor="accent1" w:themeShade="BF"/>
      <w:spacing w:val="5"/>
    </w:rPr>
  </w:style>
  <w:style w:type="paragraph" w:styleId="Antrats">
    <w:name w:val="header"/>
    <w:basedOn w:val="prastasis"/>
    <w:link w:val="AntratsDiagrama"/>
    <w:uiPriority w:val="99"/>
    <w:rsid w:val="00821A84"/>
    <w:pPr>
      <w:tabs>
        <w:tab w:val="center" w:pos="4819"/>
        <w:tab w:val="right" w:pos="9638"/>
      </w:tabs>
      <w:spacing w:after="0" w:line="240" w:lineRule="auto"/>
    </w:pPr>
    <w:rPr>
      <w:rFonts w:ascii="Times New Roman" w:eastAsia="Times New Roman" w:hAnsi="Times New Roman" w:cs="Times New Roman"/>
      <w:kern w:val="0"/>
      <w:lang w:val="en-GB"/>
      <w14:ligatures w14:val="none"/>
    </w:rPr>
  </w:style>
  <w:style w:type="character" w:customStyle="1" w:styleId="AntratsDiagrama">
    <w:name w:val="Antraštės Diagrama"/>
    <w:basedOn w:val="Numatytasispastraiposriftas"/>
    <w:link w:val="Antrats"/>
    <w:uiPriority w:val="99"/>
    <w:rsid w:val="00821A84"/>
    <w:rPr>
      <w:rFonts w:ascii="Times New Roman" w:eastAsia="Times New Roman" w:hAnsi="Times New Roman" w:cs="Times New Roman"/>
      <w:kern w:val="0"/>
      <w:lang w:val="en-GB"/>
      <w14:ligatures w14:val="none"/>
    </w:rPr>
  </w:style>
  <w:style w:type="table" w:customStyle="1" w:styleId="Lentelstinklelis1">
    <w:name w:val="Lentelės tinklelis1"/>
    <w:basedOn w:val="prastojilentel"/>
    <w:next w:val="Lentelstinklelis"/>
    <w:uiPriority w:val="59"/>
    <w:rsid w:val="00821A8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21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B6DD1"/>
    <w:rPr>
      <w:color w:val="467886" w:themeColor="hyperlink"/>
      <w:u w:val="single"/>
    </w:rPr>
  </w:style>
  <w:style w:type="character" w:styleId="Neapdorotaspaminjimas">
    <w:name w:val="Unresolved Mention"/>
    <w:basedOn w:val="Numatytasispastraiposriftas"/>
    <w:uiPriority w:val="99"/>
    <w:semiHidden/>
    <w:unhideWhenUsed/>
    <w:rsid w:val="001B6DD1"/>
    <w:rPr>
      <w:color w:val="605E5C"/>
      <w:shd w:val="clear" w:color="auto" w:fill="E1DFDD"/>
    </w:rPr>
  </w:style>
  <w:style w:type="paragraph" w:styleId="Puslapioinaostekstas">
    <w:name w:val="footnote text"/>
    <w:basedOn w:val="prastasis"/>
    <w:link w:val="PuslapioinaostekstasDiagrama"/>
    <w:uiPriority w:val="99"/>
    <w:semiHidden/>
    <w:unhideWhenUsed/>
    <w:rsid w:val="008012B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012B6"/>
    <w:rPr>
      <w:sz w:val="20"/>
      <w:szCs w:val="20"/>
    </w:rPr>
  </w:style>
  <w:style w:type="character" w:styleId="Puslapioinaosnuoroda">
    <w:name w:val="footnote reference"/>
    <w:basedOn w:val="Numatytasispastraiposriftas"/>
    <w:uiPriority w:val="99"/>
    <w:semiHidden/>
    <w:unhideWhenUsed/>
    <w:rsid w:val="008012B6"/>
    <w:rPr>
      <w:vertAlign w:val="superscript"/>
    </w:rPr>
  </w:style>
  <w:style w:type="paragraph" w:styleId="Pataisymai">
    <w:name w:val="Revision"/>
    <w:hidden/>
    <w:uiPriority w:val="99"/>
    <w:semiHidden/>
    <w:rsid w:val="00CE2DD8"/>
    <w:pPr>
      <w:spacing w:after="0" w:line="240" w:lineRule="auto"/>
    </w:pPr>
  </w:style>
  <w:style w:type="character" w:styleId="Komentaronuoroda">
    <w:name w:val="annotation reference"/>
    <w:basedOn w:val="Numatytasispastraiposriftas"/>
    <w:uiPriority w:val="99"/>
    <w:semiHidden/>
    <w:unhideWhenUsed/>
    <w:rsid w:val="00801D1E"/>
    <w:rPr>
      <w:sz w:val="16"/>
      <w:szCs w:val="16"/>
    </w:rPr>
  </w:style>
  <w:style w:type="paragraph" w:styleId="Komentarotekstas">
    <w:name w:val="annotation text"/>
    <w:basedOn w:val="prastasis"/>
    <w:link w:val="KomentarotekstasDiagrama"/>
    <w:uiPriority w:val="99"/>
    <w:unhideWhenUsed/>
    <w:rsid w:val="00801D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01D1E"/>
    <w:rPr>
      <w:sz w:val="20"/>
      <w:szCs w:val="20"/>
    </w:rPr>
  </w:style>
  <w:style w:type="paragraph" w:styleId="Komentarotema">
    <w:name w:val="annotation subject"/>
    <w:basedOn w:val="Komentarotekstas"/>
    <w:next w:val="Komentarotekstas"/>
    <w:link w:val="KomentarotemaDiagrama"/>
    <w:uiPriority w:val="99"/>
    <w:semiHidden/>
    <w:unhideWhenUsed/>
    <w:rsid w:val="00801D1E"/>
    <w:rPr>
      <w:b/>
      <w:bCs/>
    </w:rPr>
  </w:style>
  <w:style w:type="character" w:customStyle="1" w:styleId="KomentarotemaDiagrama">
    <w:name w:val="Komentaro tema Diagrama"/>
    <w:basedOn w:val="KomentarotekstasDiagrama"/>
    <w:link w:val="Komentarotema"/>
    <w:uiPriority w:val="99"/>
    <w:semiHidden/>
    <w:rsid w:val="00801D1E"/>
    <w:rPr>
      <w:b/>
      <w:bCs/>
      <w:sz w:val="20"/>
      <w:szCs w:val="20"/>
    </w:rPr>
  </w:style>
  <w:style w:type="character" w:styleId="Perirtashipersaitas">
    <w:name w:val="FollowedHyperlink"/>
    <w:basedOn w:val="Numatytasispastraiposriftas"/>
    <w:uiPriority w:val="99"/>
    <w:semiHidden/>
    <w:unhideWhenUsed/>
    <w:rsid w:val="0045259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06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tanciute@cpv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985b21e01e1111edb4cae1b158f98ea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F3DE0-A57E-4344-BD59-2612E16D2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10212</Words>
  <Characters>5822</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Gaidamavičienė Agnė | ŠMSM</dc:creator>
  <cp:keywords/>
  <dc:description/>
  <cp:lastModifiedBy>Gaidamavičienė Agnė | ŠMSM</cp:lastModifiedBy>
  <cp:revision>26</cp:revision>
  <dcterms:created xsi:type="dcterms:W3CDTF">2026-01-14T14:04:00Z</dcterms:created>
  <dcterms:modified xsi:type="dcterms:W3CDTF">2026-01-19T16:35:00Z</dcterms:modified>
</cp:coreProperties>
</file>