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B8557" w14:textId="77777777" w:rsidR="001F3D32" w:rsidRDefault="001F3D32" w:rsidP="00F15346"/>
    <w:p w14:paraId="440724EF" w14:textId="77777777" w:rsidR="001F3D32" w:rsidRDefault="001F3D32">
      <w:pPr>
        <w:tabs>
          <w:tab w:val="center" w:pos="4986"/>
          <w:tab w:val="right" w:pos="9972"/>
        </w:tabs>
      </w:pPr>
    </w:p>
    <w:p w14:paraId="6120C5DB" w14:textId="77777777" w:rsidR="001F3D32" w:rsidRDefault="00BB2082">
      <w:pPr>
        <w:ind w:left="9072"/>
        <w:rPr>
          <w:szCs w:val="24"/>
          <w:lang w:eastAsia="lt-LT"/>
        </w:rPr>
      </w:pPr>
      <w:r>
        <w:rPr>
          <w:szCs w:val="24"/>
          <w:lang w:eastAsia="lt-LT"/>
        </w:rPr>
        <w:t xml:space="preserve">2022–2030 metų plėtros programos valdytojos Lietuvos </w:t>
      </w:r>
    </w:p>
    <w:p w14:paraId="41534504" w14:textId="77777777" w:rsidR="001F3D32" w:rsidRDefault="00BB2082">
      <w:pPr>
        <w:ind w:left="9072"/>
        <w:rPr>
          <w:szCs w:val="24"/>
          <w:lang w:eastAsia="lt-LT"/>
        </w:rPr>
      </w:pPr>
      <w:r>
        <w:rPr>
          <w:szCs w:val="24"/>
          <w:lang w:eastAsia="lt-LT"/>
        </w:rPr>
        <w:t xml:space="preserve">Respublikos susisiekimo ministerijos susisiekimo plėtros </w:t>
      </w:r>
    </w:p>
    <w:p w14:paraId="328B77DB" w14:textId="77777777" w:rsidR="001F3D32" w:rsidRDefault="00BB2082">
      <w:pPr>
        <w:ind w:left="9072"/>
        <w:rPr>
          <w:szCs w:val="24"/>
          <w:lang w:eastAsia="lt-LT"/>
        </w:rPr>
      </w:pPr>
      <w:r>
        <w:rPr>
          <w:szCs w:val="24"/>
          <w:lang w:eastAsia="lt-LT"/>
        </w:rPr>
        <w:t>programos pažangos priemonės Nr. 10-001-06-01-02</w:t>
      </w:r>
    </w:p>
    <w:p w14:paraId="2B81D863" w14:textId="77777777" w:rsidR="001F3D32" w:rsidRDefault="00BB2082">
      <w:pPr>
        <w:ind w:left="9072"/>
        <w:rPr>
          <w:szCs w:val="24"/>
          <w:lang w:eastAsia="lt-LT"/>
        </w:rPr>
      </w:pPr>
      <w:r>
        <w:rPr>
          <w:szCs w:val="24"/>
          <w:lang w:eastAsia="lt-LT"/>
        </w:rPr>
        <w:t>„Skatinti darnų judumą“ aprašo</w:t>
      </w:r>
    </w:p>
    <w:p w14:paraId="2F5720E9" w14:textId="77777777" w:rsidR="001F3D32" w:rsidRDefault="00BB2082">
      <w:pPr>
        <w:ind w:left="9072"/>
        <w:rPr>
          <w:szCs w:val="24"/>
          <w:lang w:eastAsia="lt-LT"/>
        </w:rPr>
      </w:pPr>
      <w:r>
        <w:rPr>
          <w:szCs w:val="24"/>
        </w:rPr>
        <w:t>4 priedas</w:t>
      </w:r>
    </w:p>
    <w:p w14:paraId="3C966768" w14:textId="77777777" w:rsidR="001F3D32" w:rsidRDefault="001F3D32">
      <w:pPr>
        <w:jc w:val="center"/>
        <w:rPr>
          <w:iCs/>
          <w:szCs w:val="24"/>
        </w:rPr>
      </w:pPr>
    </w:p>
    <w:p w14:paraId="7109D5AC" w14:textId="77777777" w:rsidR="001F3D32" w:rsidRDefault="00BB2082">
      <w:pPr>
        <w:ind w:left="927"/>
        <w:jc w:val="center"/>
        <w:rPr>
          <w:b/>
          <w:szCs w:val="24"/>
        </w:rPr>
      </w:pPr>
      <w:r>
        <w:rPr>
          <w:b/>
          <w:bCs/>
          <w:szCs w:val="24"/>
          <w:lang w:eastAsia="lt-LT"/>
        </w:rPr>
        <w:t xml:space="preserve">2022–2030 METŲ PLĖTROS PROGRAMOS VALDYTOJOS LIETUVOS RESPUBLIKOS SUSISIEKIMO MINISTERIJOS SUSISIEKIMO PLĖTROS PROGRAMOS PAŽANGOS PRIEMONĖS NR. 10-001-06-01-02 „SKATINTI DARNŲ JUDUMĄ“ VEIKLOS „DVIRAČIŲ IR PĖSČIŲJŲ INFRASTRUKTŪROS VYSTYMAS“ POVEIKLĖS </w:t>
      </w:r>
      <w:r>
        <w:rPr>
          <w:b/>
          <w:bCs/>
          <w:iCs/>
          <w:szCs w:val="24"/>
          <w:lang w:eastAsia="lt-LT"/>
        </w:rPr>
        <w:t>„</w:t>
      </w:r>
      <w:r>
        <w:rPr>
          <w:b/>
          <w:bCs/>
          <w:szCs w:val="24"/>
        </w:rPr>
        <w:t>DVIRAČIŲ IR PĖSČIŲJŲ INFRASTRUKTŪROS VYSTYMAS ŠALIA VALSTYBINĖS REIKŠMĖS KELIŲ</w:t>
      </w:r>
      <w:r>
        <w:rPr>
          <w:b/>
          <w:bCs/>
          <w:szCs w:val="24"/>
          <w:lang w:eastAsia="lt-LT"/>
        </w:rPr>
        <w:t xml:space="preserve">“ </w:t>
      </w:r>
      <w:r>
        <w:rPr>
          <w:b/>
          <w:szCs w:val="24"/>
        </w:rPr>
        <w:t>PROJEKTŲ FINANSAVIMO SĄLYGŲ APRAŠAS</w:t>
      </w:r>
    </w:p>
    <w:p w14:paraId="21571FF9" w14:textId="77777777" w:rsidR="001F3D32" w:rsidRDefault="001F3D32">
      <w:pPr>
        <w:rPr>
          <w:bCs/>
          <w:i/>
          <w:szCs w:val="24"/>
        </w:rPr>
      </w:pPr>
    </w:p>
    <w:p w14:paraId="267249EF" w14:textId="77777777" w:rsidR="001F3D32" w:rsidRDefault="00BB2082">
      <w:pPr>
        <w:spacing w:line="259" w:lineRule="auto"/>
        <w:jc w:val="center"/>
        <w:rPr>
          <w:b/>
          <w:bCs/>
        </w:rPr>
      </w:pPr>
      <w:r>
        <w:rPr>
          <w:b/>
          <w:bCs/>
        </w:rPr>
        <w:t>I SKYRIUS</w:t>
      </w:r>
    </w:p>
    <w:p w14:paraId="098B0B54" w14:textId="77777777" w:rsidR="001F3D32" w:rsidRDefault="00BB2082">
      <w:pPr>
        <w:spacing w:line="259" w:lineRule="auto"/>
        <w:jc w:val="center"/>
        <w:rPr>
          <w:b/>
          <w:bCs/>
        </w:rPr>
      </w:pPr>
      <w:r>
        <w:rPr>
          <w:b/>
          <w:bCs/>
        </w:rPr>
        <w:t>VEIKLOS AR POVEIKLĖS, KURIOMS NUSTATOMOS PROJEKTŲ FINANSAVIMO SĄLYGOS IR JŲ RODIKLIAI</w:t>
      </w:r>
    </w:p>
    <w:p w14:paraId="363E3D27" w14:textId="77777777" w:rsidR="001F3D32" w:rsidRDefault="001F3D32">
      <w:pPr>
        <w:spacing w:line="259" w:lineRule="auto"/>
        <w:jc w:val="center"/>
        <w:rPr>
          <w:b/>
          <w:bCs/>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850"/>
        <w:gridCol w:w="1134"/>
        <w:gridCol w:w="993"/>
        <w:gridCol w:w="1275"/>
        <w:gridCol w:w="1134"/>
        <w:gridCol w:w="993"/>
        <w:gridCol w:w="1275"/>
        <w:gridCol w:w="993"/>
        <w:gridCol w:w="1275"/>
        <w:gridCol w:w="851"/>
        <w:gridCol w:w="1417"/>
      </w:tblGrid>
      <w:tr w:rsidR="001F3D32" w14:paraId="44AC0794" w14:textId="77777777">
        <w:tc>
          <w:tcPr>
            <w:tcW w:w="14737" w:type="dxa"/>
            <w:gridSpan w:val="13"/>
            <w:vAlign w:val="center"/>
          </w:tcPr>
          <w:p w14:paraId="0CBCDE62" w14:textId="77777777" w:rsidR="001F3D32" w:rsidRDefault="00BB2082">
            <w:pPr>
              <w:ind w:left="720" w:hanging="360"/>
              <w:jc w:val="both"/>
              <w:rPr>
                <w:b/>
                <w:sz w:val="22"/>
                <w:szCs w:val="22"/>
              </w:rPr>
            </w:pPr>
            <w:r>
              <w:rPr>
                <w:b/>
                <w:sz w:val="22"/>
                <w:szCs w:val="22"/>
              </w:rPr>
              <w:t>1.</w:t>
            </w:r>
            <w:r>
              <w:rPr>
                <w:b/>
                <w:sz w:val="22"/>
                <w:szCs w:val="22"/>
              </w:rPr>
              <w:tab/>
              <w:t xml:space="preserve">Veiklos ar </w:t>
            </w:r>
            <w:proofErr w:type="spellStart"/>
            <w:r>
              <w:rPr>
                <w:b/>
                <w:sz w:val="22"/>
                <w:szCs w:val="22"/>
              </w:rPr>
              <w:t>poveiklės</w:t>
            </w:r>
            <w:proofErr w:type="spellEnd"/>
            <w:r>
              <w:rPr>
                <w:b/>
                <w:sz w:val="22"/>
                <w:szCs w:val="22"/>
              </w:rPr>
              <w:t>, kurioms nustatomos projektų finansavimo sąlygos</w:t>
            </w:r>
          </w:p>
        </w:tc>
      </w:tr>
      <w:tr w:rsidR="001F3D32" w14:paraId="0B358608" w14:textId="77777777">
        <w:tc>
          <w:tcPr>
            <w:tcW w:w="1271" w:type="dxa"/>
            <w:vAlign w:val="center"/>
          </w:tcPr>
          <w:p w14:paraId="16AB9887" w14:textId="77777777" w:rsidR="001F3D32" w:rsidRDefault="00BB2082">
            <w:pPr>
              <w:jc w:val="center"/>
              <w:rPr>
                <w:b/>
                <w:sz w:val="18"/>
                <w:szCs w:val="18"/>
              </w:rPr>
            </w:pPr>
            <w:r>
              <w:rPr>
                <w:b/>
                <w:sz w:val="18"/>
                <w:szCs w:val="18"/>
              </w:rPr>
              <w:t xml:space="preserve">Veiklos ar </w:t>
            </w:r>
            <w:proofErr w:type="spellStart"/>
            <w:r>
              <w:rPr>
                <w:b/>
                <w:sz w:val="18"/>
                <w:szCs w:val="18"/>
              </w:rPr>
              <w:t>poveiklės</w:t>
            </w:r>
            <w:proofErr w:type="spellEnd"/>
            <w:r>
              <w:rPr>
                <w:b/>
                <w:sz w:val="18"/>
                <w:szCs w:val="18"/>
              </w:rPr>
              <w:t xml:space="preserve"> </w:t>
            </w:r>
            <w:r>
              <w:rPr>
                <w:b/>
                <w:color w:val="000000"/>
                <w:sz w:val="18"/>
                <w:szCs w:val="18"/>
              </w:rPr>
              <w:t xml:space="preserve">numeris ir </w:t>
            </w:r>
            <w:r>
              <w:rPr>
                <w:b/>
                <w:sz w:val="18"/>
                <w:szCs w:val="18"/>
              </w:rPr>
              <w:t>pavadinimas</w:t>
            </w:r>
          </w:p>
        </w:tc>
        <w:tc>
          <w:tcPr>
            <w:tcW w:w="1276" w:type="dxa"/>
            <w:vAlign w:val="center"/>
          </w:tcPr>
          <w:p w14:paraId="50072BC3" w14:textId="77777777" w:rsidR="001F3D32" w:rsidRDefault="00BB2082">
            <w:pPr>
              <w:jc w:val="center"/>
              <w:rPr>
                <w:b/>
                <w:sz w:val="18"/>
                <w:szCs w:val="18"/>
              </w:rPr>
            </w:pPr>
            <w:r>
              <w:rPr>
                <w:b/>
                <w:sz w:val="18"/>
                <w:szCs w:val="18"/>
              </w:rPr>
              <w:t>Finansavimo šaltinis</w:t>
            </w:r>
          </w:p>
        </w:tc>
        <w:tc>
          <w:tcPr>
            <w:tcW w:w="850" w:type="dxa"/>
            <w:vAlign w:val="center"/>
          </w:tcPr>
          <w:p w14:paraId="3E26C4F0" w14:textId="77777777" w:rsidR="001F3D32" w:rsidRDefault="00BB2082">
            <w:pPr>
              <w:jc w:val="center"/>
              <w:rPr>
                <w:b/>
                <w:sz w:val="18"/>
                <w:szCs w:val="18"/>
              </w:rPr>
            </w:pPr>
            <w:r>
              <w:rPr>
                <w:b/>
                <w:sz w:val="18"/>
                <w:szCs w:val="18"/>
              </w:rPr>
              <w:t xml:space="preserve">Prioritetas ar </w:t>
            </w:r>
            <w:proofErr w:type="spellStart"/>
            <w:r>
              <w:rPr>
                <w:b/>
                <w:sz w:val="18"/>
                <w:szCs w:val="18"/>
              </w:rPr>
              <w:t>kompo-nentas</w:t>
            </w:r>
            <w:proofErr w:type="spellEnd"/>
          </w:p>
        </w:tc>
        <w:tc>
          <w:tcPr>
            <w:tcW w:w="1134" w:type="dxa"/>
            <w:vAlign w:val="center"/>
          </w:tcPr>
          <w:p w14:paraId="705DF0A5" w14:textId="77777777" w:rsidR="001F3D32" w:rsidRDefault="00BB2082">
            <w:pPr>
              <w:jc w:val="center"/>
              <w:rPr>
                <w:b/>
                <w:sz w:val="18"/>
                <w:szCs w:val="18"/>
              </w:rPr>
            </w:pPr>
            <w:r>
              <w:rPr>
                <w:b/>
                <w:sz w:val="18"/>
                <w:szCs w:val="18"/>
              </w:rPr>
              <w:t>Uždavinys ar priemonė</w:t>
            </w:r>
          </w:p>
        </w:tc>
        <w:tc>
          <w:tcPr>
            <w:tcW w:w="993" w:type="dxa"/>
            <w:vAlign w:val="center"/>
          </w:tcPr>
          <w:p w14:paraId="5EE5D264" w14:textId="77777777" w:rsidR="001F3D32" w:rsidRDefault="00BB2082">
            <w:pPr>
              <w:jc w:val="center"/>
              <w:rPr>
                <w:b/>
                <w:sz w:val="18"/>
                <w:szCs w:val="18"/>
              </w:rPr>
            </w:pPr>
            <w:r>
              <w:rPr>
                <w:b/>
                <w:sz w:val="18"/>
                <w:szCs w:val="18"/>
              </w:rPr>
              <w:t xml:space="preserve">Veikla ar </w:t>
            </w:r>
            <w:proofErr w:type="spellStart"/>
            <w:r>
              <w:rPr>
                <w:b/>
                <w:sz w:val="18"/>
                <w:szCs w:val="18"/>
              </w:rPr>
              <w:t>paprie-monė</w:t>
            </w:r>
            <w:proofErr w:type="spellEnd"/>
          </w:p>
        </w:tc>
        <w:tc>
          <w:tcPr>
            <w:tcW w:w="1275" w:type="dxa"/>
            <w:vAlign w:val="center"/>
          </w:tcPr>
          <w:p w14:paraId="31C52843" w14:textId="77777777" w:rsidR="001F3D32" w:rsidRDefault="00BB2082">
            <w:pPr>
              <w:jc w:val="center"/>
              <w:rPr>
                <w:b/>
                <w:sz w:val="18"/>
                <w:szCs w:val="18"/>
              </w:rPr>
            </w:pPr>
            <w:r>
              <w:rPr>
                <w:b/>
                <w:sz w:val="18"/>
                <w:szCs w:val="18"/>
              </w:rPr>
              <w:t>Intervencinės priemonės kodas</w:t>
            </w:r>
          </w:p>
        </w:tc>
        <w:tc>
          <w:tcPr>
            <w:tcW w:w="1134" w:type="dxa"/>
            <w:vAlign w:val="center"/>
          </w:tcPr>
          <w:p w14:paraId="73A65553" w14:textId="77777777" w:rsidR="001F3D32" w:rsidRDefault="00BB2082">
            <w:pPr>
              <w:jc w:val="center"/>
              <w:rPr>
                <w:b/>
                <w:sz w:val="18"/>
                <w:szCs w:val="18"/>
              </w:rPr>
            </w:pPr>
            <w:r>
              <w:rPr>
                <w:b/>
                <w:sz w:val="18"/>
                <w:szCs w:val="18"/>
              </w:rPr>
              <w:t xml:space="preserve">Regionas, kuriam priskiriama veikla ar </w:t>
            </w:r>
            <w:proofErr w:type="spellStart"/>
            <w:r>
              <w:rPr>
                <w:b/>
                <w:sz w:val="18"/>
                <w:szCs w:val="18"/>
              </w:rPr>
              <w:t>poveiklė</w:t>
            </w:r>
            <w:proofErr w:type="spellEnd"/>
          </w:p>
        </w:tc>
        <w:tc>
          <w:tcPr>
            <w:tcW w:w="993" w:type="dxa"/>
            <w:vAlign w:val="center"/>
          </w:tcPr>
          <w:p w14:paraId="4F2439D4" w14:textId="77777777" w:rsidR="001F3D32" w:rsidRDefault="00BB2082">
            <w:pPr>
              <w:jc w:val="center"/>
              <w:rPr>
                <w:b/>
                <w:sz w:val="18"/>
                <w:szCs w:val="18"/>
              </w:rPr>
            </w:pPr>
            <w:r>
              <w:rPr>
                <w:b/>
                <w:sz w:val="18"/>
                <w:szCs w:val="18"/>
              </w:rPr>
              <w:t>Paramos formos kodas</w:t>
            </w:r>
          </w:p>
        </w:tc>
        <w:tc>
          <w:tcPr>
            <w:tcW w:w="1275" w:type="dxa"/>
            <w:vAlign w:val="center"/>
          </w:tcPr>
          <w:p w14:paraId="3BCB4A6A" w14:textId="77777777" w:rsidR="001F3D32" w:rsidRDefault="00BB2082">
            <w:pPr>
              <w:jc w:val="center"/>
              <w:rPr>
                <w:b/>
                <w:sz w:val="18"/>
                <w:szCs w:val="18"/>
              </w:rPr>
            </w:pPr>
            <w:r>
              <w:rPr>
                <w:b/>
                <w:sz w:val="18"/>
                <w:szCs w:val="18"/>
              </w:rPr>
              <w:t>Pagrindinės teritorinės srities kodas (-ai)</w:t>
            </w:r>
          </w:p>
        </w:tc>
        <w:tc>
          <w:tcPr>
            <w:tcW w:w="993" w:type="dxa"/>
            <w:vAlign w:val="center"/>
          </w:tcPr>
          <w:p w14:paraId="00F29A88" w14:textId="77777777" w:rsidR="001F3D32" w:rsidRDefault="00BB2082">
            <w:pPr>
              <w:jc w:val="center"/>
              <w:rPr>
                <w:b/>
                <w:sz w:val="18"/>
                <w:szCs w:val="18"/>
              </w:rPr>
            </w:pPr>
            <w:proofErr w:type="spellStart"/>
            <w:r>
              <w:rPr>
                <w:b/>
                <w:sz w:val="18"/>
                <w:szCs w:val="18"/>
              </w:rPr>
              <w:t>Ekono</w:t>
            </w:r>
            <w:proofErr w:type="spellEnd"/>
            <w:r>
              <w:rPr>
                <w:b/>
                <w:sz w:val="18"/>
                <w:szCs w:val="18"/>
              </w:rPr>
              <w:t xml:space="preserve">-minės veiklos kodas </w:t>
            </w:r>
          </w:p>
          <w:p w14:paraId="761EF499" w14:textId="77777777" w:rsidR="001F3D32" w:rsidRDefault="00BB2082">
            <w:pPr>
              <w:jc w:val="center"/>
              <w:rPr>
                <w:b/>
                <w:sz w:val="18"/>
                <w:szCs w:val="18"/>
              </w:rPr>
            </w:pPr>
            <w:r>
              <w:rPr>
                <w:b/>
                <w:sz w:val="18"/>
                <w:szCs w:val="18"/>
              </w:rPr>
              <w:t>(-ai)</w:t>
            </w:r>
          </w:p>
        </w:tc>
        <w:tc>
          <w:tcPr>
            <w:tcW w:w="1275" w:type="dxa"/>
            <w:vAlign w:val="center"/>
          </w:tcPr>
          <w:p w14:paraId="1C9A7D55" w14:textId="77777777" w:rsidR="001F3D32" w:rsidRDefault="00BB2082">
            <w:pPr>
              <w:jc w:val="center"/>
              <w:rPr>
                <w:b/>
                <w:sz w:val="18"/>
                <w:szCs w:val="18"/>
              </w:rPr>
            </w:pPr>
            <w:r>
              <w:rPr>
                <w:b/>
                <w:sz w:val="18"/>
                <w:szCs w:val="18"/>
              </w:rPr>
              <w:t>„Europos socialinio fondo +“ (toliau – ESF+) antrinių temų kodai</w:t>
            </w:r>
          </w:p>
        </w:tc>
        <w:tc>
          <w:tcPr>
            <w:tcW w:w="851" w:type="dxa"/>
            <w:vAlign w:val="center"/>
          </w:tcPr>
          <w:p w14:paraId="6DC6EC89" w14:textId="77777777" w:rsidR="001F3D32" w:rsidRDefault="00BB2082">
            <w:pPr>
              <w:jc w:val="center"/>
              <w:rPr>
                <w:b/>
                <w:sz w:val="18"/>
                <w:szCs w:val="18"/>
              </w:rPr>
            </w:pPr>
            <w:r>
              <w:rPr>
                <w:b/>
                <w:sz w:val="18"/>
                <w:szCs w:val="18"/>
              </w:rPr>
              <w:t>Lyčių lygybės mat-</w:t>
            </w:r>
            <w:proofErr w:type="spellStart"/>
            <w:r>
              <w:rPr>
                <w:b/>
                <w:sz w:val="18"/>
                <w:szCs w:val="18"/>
              </w:rPr>
              <w:t>mens</w:t>
            </w:r>
            <w:proofErr w:type="spellEnd"/>
            <w:r>
              <w:rPr>
                <w:b/>
                <w:sz w:val="18"/>
                <w:szCs w:val="18"/>
              </w:rPr>
              <w:t xml:space="preserve"> kodas</w:t>
            </w:r>
          </w:p>
        </w:tc>
        <w:tc>
          <w:tcPr>
            <w:tcW w:w="1417" w:type="dxa"/>
            <w:vAlign w:val="center"/>
          </w:tcPr>
          <w:p w14:paraId="036D28A1" w14:textId="77777777" w:rsidR="001F3D32" w:rsidRDefault="00BB2082">
            <w:pPr>
              <w:jc w:val="center"/>
              <w:rPr>
                <w:b/>
                <w:sz w:val="18"/>
                <w:szCs w:val="18"/>
              </w:rPr>
            </w:pPr>
            <w:r>
              <w:rPr>
                <w:b/>
                <w:sz w:val="18"/>
                <w:szCs w:val="18"/>
              </w:rPr>
              <w:t>Nepanaudotos Ekonomikos gaivinimo ir atsparumo didinimo priemonės (toliau – EGADT) lėšos</w:t>
            </w:r>
          </w:p>
          <w:p w14:paraId="0DBC487C" w14:textId="77777777" w:rsidR="001F3D32" w:rsidRDefault="00BB2082">
            <w:pPr>
              <w:jc w:val="center"/>
              <w:rPr>
                <w:b/>
                <w:sz w:val="18"/>
                <w:szCs w:val="18"/>
              </w:rPr>
            </w:pPr>
            <w:r>
              <w:rPr>
                <w:b/>
                <w:sz w:val="18"/>
                <w:szCs w:val="18"/>
              </w:rPr>
              <w:t>(Taip / Ne)</w:t>
            </w:r>
          </w:p>
        </w:tc>
      </w:tr>
      <w:tr w:rsidR="001F3D32" w14:paraId="3F252121" w14:textId="77777777">
        <w:trPr>
          <w:trHeight w:val="278"/>
        </w:trPr>
        <w:tc>
          <w:tcPr>
            <w:tcW w:w="1271" w:type="dxa"/>
            <w:tcMar>
              <w:left w:w="28" w:type="dxa"/>
              <w:right w:w="28" w:type="dxa"/>
            </w:tcMar>
          </w:tcPr>
          <w:p w14:paraId="1F63913D" w14:textId="77777777" w:rsidR="001F3D32" w:rsidRDefault="00BB2082">
            <w:pPr>
              <w:jc w:val="center"/>
              <w:rPr>
                <w:iCs/>
                <w:color w:val="0070C0"/>
                <w:sz w:val="18"/>
                <w:szCs w:val="18"/>
              </w:rPr>
            </w:pPr>
            <w:r>
              <w:rPr>
                <w:iCs/>
                <w:sz w:val="20"/>
                <w:lang w:eastAsia="lt-LT"/>
              </w:rPr>
              <w:t xml:space="preserve">1.5. </w:t>
            </w:r>
            <w:r>
              <w:rPr>
                <w:sz w:val="20"/>
              </w:rPr>
              <w:t>Dviračių ir pėsčiųjų infrastruktūros vystymas šalia valstybinės reikšmės kelių</w:t>
            </w:r>
          </w:p>
        </w:tc>
        <w:tc>
          <w:tcPr>
            <w:tcW w:w="1276" w:type="dxa"/>
            <w:tcMar>
              <w:left w:w="28" w:type="dxa"/>
              <w:right w:w="28" w:type="dxa"/>
            </w:tcMar>
          </w:tcPr>
          <w:p w14:paraId="49C78AB4" w14:textId="77777777" w:rsidR="001F3D32" w:rsidRDefault="00BB2082">
            <w:pPr>
              <w:jc w:val="center"/>
              <w:rPr>
                <w:iCs/>
                <w:sz w:val="20"/>
              </w:rPr>
            </w:pPr>
            <w:r>
              <w:rPr>
                <w:iCs/>
                <w:sz w:val="20"/>
              </w:rPr>
              <w:t>Ekonomikos gaivinimo ir atsparumo didinimo priemonės subsidijos lėšos</w:t>
            </w:r>
          </w:p>
        </w:tc>
        <w:tc>
          <w:tcPr>
            <w:tcW w:w="850" w:type="dxa"/>
            <w:tcMar>
              <w:left w:w="28" w:type="dxa"/>
              <w:right w:w="28" w:type="dxa"/>
            </w:tcMar>
          </w:tcPr>
          <w:p w14:paraId="0721086A" w14:textId="77777777" w:rsidR="001F3D32" w:rsidRDefault="00BB2082">
            <w:pPr>
              <w:jc w:val="center"/>
              <w:rPr>
                <w:sz w:val="20"/>
              </w:rPr>
            </w:pPr>
            <w:r>
              <w:rPr>
                <w:sz w:val="20"/>
              </w:rPr>
              <w:t>B.2</w:t>
            </w:r>
          </w:p>
          <w:p w14:paraId="194C8900" w14:textId="77777777" w:rsidR="001F3D32" w:rsidRDefault="001F3D32">
            <w:pPr>
              <w:jc w:val="center"/>
              <w:rPr>
                <w:sz w:val="20"/>
              </w:rPr>
            </w:pPr>
          </w:p>
          <w:p w14:paraId="28308B36" w14:textId="77777777" w:rsidR="001F3D32" w:rsidRDefault="001F3D32">
            <w:pPr>
              <w:jc w:val="center"/>
              <w:rPr>
                <w:i/>
                <w:sz w:val="20"/>
              </w:rPr>
            </w:pPr>
          </w:p>
        </w:tc>
        <w:tc>
          <w:tcPr>
            <w:tcW w:w="1134" w:type="dxa"/>
            <w:tcMar>
              <w:left w:w="28" w:type="dxa"/>
              <w:right w:w="28" w:type="dxa"/>
            </w:tcMar>
          </w:tcPr>
          <w:p w14:paraId="695951A9" w14:textId="77777777" w:rsidR="001F3D32" w:rsidRDefault="00BB2082">
            <w:pPr>
              <w:jc w:val="center"/>
              <w:rPr>
                <w:sz w:val="20"/>
              </w:rPr>
            </w:pPr>
            <w:r>
              <w:rPr>
                <w:sz w:val="20"/>
              </w:rPr>
              <w:t>B.1.2</w:t>
            </w:r>
          </w:p>
          <w:p w14:paraId="229E9F55" w14:textId="77777777" w:rsidR="001F3D32" w:rsidRDefault="001F3D32">
            <w:pPr>
              <w:rPr>
                <w:i/>
                <w:sz w:val="20"/>
              </w:rPr>
            </w:pPr>
          </w:p>
          <w:p w14:paraId="3A5338AD" w14:textId="77777777" w:rsidR="001F3D32" w:rsidRDefault="00BB2082">
            <w:pPr>
              <w:jc w:val="center"/>
              <w:rPr>
                <w:sz w:val="20"/>
              </w:rPr>
            </w:pPr>
            <w:r>
              <w:rPr>
                <w:i/>
                <w:sz w:val="20"/>
              </w:rPr>
              <w:t>.</w:t>
            </w:r>
          </w:p>
        </w:tc>
        <w:tc>
          <w:tcPr>
            <w:tcW w:w="993" w:type="dxa"/>
            <w:tcMar>
              <w:left w:w="28" w:type="dxa"/>
              <w:right w:w="28" w:type="dxa"/>
            </w:tcMar>
          </w:tcPr>
          <w:p w14:paraId="25B2128D" w14:textId="77777777" w:rsidR="001F3D32" w:rsidRDefault="00BB2082">
            <w:pPr>
              <w:jc w:val="center"/>
              <w:rPr>
                <w:sz w:val="20"/>
              </w:rPr>
            </w:pPr>
            <w:r>
              <w:rPr>
                <w:sz w:val="20"/>
              </w:rPr>
              <w:t>B.1.2.1</w:t>
            </w:r>
          </w:p>
          <w:p w14:paraId="3B7E6C90" w14:textId="77777777" w:rsidR="001F3D32" w:rsidRDefault="001F3D32">
            <w:pPr>
              <w:jc w:val="center"/>
              <w:rPr>
                <w:i/>
                <w:iCs/>
                <w:sz w:val="20"/>
              </w:rPr>
            </w:pPr>
          </w:p>
          <w:p w14:paraId="7C1792C5" w14:textId="77777777" w:rsidR="001F3D32" w:rsidRDefault="001F3D32">
            <w:pPr>
              <w:jc w:val="center"/>
              <w:rPr>
                <w:i/>
                <w:sz w:val="20"/>
              </w:rPr>
            </w:pPr>
          </w:p>
        </w:tc>
        <w:tc>
          <w:tcPr>
            <w:tcW w:w="1275" w:type="dxa"/>
            <w:tcMar>
              <w:left w:w="28" w:type="dxa"/>
              <w:right w:w="28" w:type="dxa"/>
            </w:tcMar>
          </w:tcPr>
          <w:p w14:paraId="2F669431" w14:textId="77777777" w:rsidR="001F3D32" w:rsidRDefault="00BB2082">
            <w:pPr>
              <w:jc w:val="center"/>
              <w:rPr>
                <w:sz w:val="20"/>
              </w:rPr>
            </w:pPr>
            <w:r>
              <w:rPr>
                <w:sz w:val="20"/>
              </w:rPr>
              <w:t>075</w:t>
            </w:r>
          </w:p>
        </w:tc>
        <w:tc>
          <w:tcPr>
            <w:tcW w:w="1134" w:type="dxa"/>
            <w:tcMar>
              <w:left w:w="28" w:type="dxa"/>
              <w:right w:w="28" w:type="dxa"/>
            </w:tcMar>
          </w:tcPr>
          <w:p w14:paraId="0D4FE2C3" w14:textId="77777777" w:rsidR="001F3D32" w:rsidRDefault="00BB2082">
            <w:pPr>
              <w:jc w:val="center"/>
              <w:rPr>
                <w:i/>
                <w:sz w:val="20"/>
              </w:rPr>
            </w:pPr>
            <w:r>
              <w:rPr>
                <w:i/>
                <w:sz w:val="20"/>
              </w:rPr>
              <w:t>–</w:t>
            </w:r>
          </w:p>
        </w:tc>
        <w:tc>
          <w:tcPr>
            <w:tcW w:w="993" w:type="dxa"/>
            <w:tcMar>
              <w:left w:w="28" w:type="dxa"/>
              <w:right w:w="28" w:type="dxa"/>
            </w:tcMar>
          </w:tcPr>
          <w:p w14:paraId="4CBB06D7" w14:textId="77777777" w:rsidR="001F3D32" w:rsidRDefault="00BB2082">
            <w:pPr>
              <w:jc w:val="center"/>
              <w:rPr>
                <w:i/>
                <w:sz w:val="20"/>
              </w:rPr>
            </w:pPr>
            <w:r>
              <w:rPr>
                <w:i/>
                <w:sz w:val="20"/>
              </w:rPr>
              <w:t>–</w:t>
            </w:r>
          </w:p>
        </w:tc>
        <w:tc>
          <w:tcPr>
            <w:tcW w:w="1275" w:type="dxa"/>
            <w:tcMar>
              <w:left w:w="28" w:type="dxa"/>
              <w:right w:w="28" w:type="dxa"/>
            </w:tcMar>
          </w:tcPr>
          <w:p w14:paraId="3E024231" w14:textId="77777777" w:rsidR="001F3D32" w:rsidRDefault="00BB2082">
            <w:pPr>
              <w:jc w:val="center"/>
              <w:rPr>
                <w:sz w:val="20"/>
              </w:rPr>
            </w:pPr>
            <w:r>
              <w:rPr>
                <w:i/>
                <w:iCs/>
                <w:sz w:val="20"/>
              </w:rPr>
              <w:t>–</w:t>
            </w:r>
          </w:p>
        </w:tc>
        <w:tc>
          <w:tcPr>
            <w:tcW w:w="993" w:type="dxa"/>
            <w:tcMar>
              <w:left w:w="28" w:type="dxa"/>
              <w:right w:w="28" w:type="dxa"/>
            </w:tcMar>
          </w:tcPr>
          <w:p w14:paraId="77B234B4" w14:textId="77777777" w:rsidR="001F3D32" w:rsidRDefault="00BB2082">
            <w:pPr>
              <w:jc w:val="center"/>
              <w:rPr>
                <w:sz w:val="20"/>
              </w:rPr>
            </w:pPr>
            <w:r>
              <w:rPr>
                <w:i/>
                <w:iCs/>
                <w:sz w:val="20"/>
              </w:rPr>
              <w:t>–</w:t>
            </w:r>
          </w:p>
        </w:tc>
        <w:tc>
          <w:tcPr>
            <w:tcW w:w="1275" w:type="dxa"/>
            <w:tcMar>
              <w:left w:w="28" w:type="dxa"/>
              <w:right w:w="28" w:type="dxa"/>
            </w:tcMar>
          </w:tcPr>
          <w:p w14:paraId="0A9CD49B" w14:textId="77777777" w:rsidR="001F3D32" w:rsidRDefault="00BB2082">
            <w:pPr>
              <w:jc w:val="center"/>
              <w:rPr>
                <w:i/>
                <w:iCs/>
                <w:sz w:val="20"/>
              </w:rPr>
            </w:pPr>
            <w:r>
              <w:rPr>
                <w:i/>
                <w:iCs/>
                <w:sz w:val="20"/>
              </w:rPr>
              <w:t>–</w:t>
            </w:r>
          </w:p>
        </w:tc>
        <w:tc>
          <w:tcPr>
            <w:tcW w:w="851" w:type="dxa"/>
            <w:tcMar>
              <w:left w:w="28" w:type="dxa"/>
              <w:right w:w="28" w:type="dxa"/>
            </w:tcMar>
          </w:tcPr>
          <w:p w14:paraId="3D94F17C" w14:textId="77777777" w:rsidR="001F3D32" w:rsidRDefault="00BB2082">
            <w:pPr>
              <w:jc w:val="center"/>
              <w:rPr>
                <w:i/>
                <w:iCs/>
                <w:sz w:val="20"/>
              </w:rPr>
            </w:pPr>
            <w:r>
              <w:rPr>
                <w:i/>
                <w:iCs/>
                <w:sz w:val="20"/>
              </w:rPr>
              <w:t>–</w:t>
            </w:r>
          </w:p>
        </w:tc>
        <w:tc>
          <w:tcPr>
            <w:tcW w:w="1417" w:type="dxa"/>
          </w:tcPr>
          <w:p w14:paraId="1600FE36" w14:textId="77777777" w:rsidR="001F3D32" w:rsidRDefault="00BB2082">
            <w:pPr>
              <w:jc w:val="center"/>
              <w:rPr>
                <w:sz w:val="20"/>
              </w:rPr>
            </w:pPr>
            <w:r>
              <w:rPr>
                <w:sz w:val="20"/>
              </w:rPr>
              <w:t>Ne</w:t>
            </w:r>
          </w:p>
        </w:tc>
      </w:tr>
    </w:tbl>
    <w:p w14:paraId="0E74BBB8" w14:textId="77777777" w:rsidR="001F3D32" w:rsidRDefault="001F3D32">
      <w:pPr>
        <w:spacing w:line="259" w:lineRule="auto"/>
        <w:jc w:val="center"/>
        <w:rPr>
          <w:b/>
          <w:szCs w:val="24"/>
        </w:rPr>
      </w:pPr>
    </w:p>
    <w:p w14:paraId="2F523552" w14:textId="77777777" w:rsidR="001F3D32" w:rsidRDefault="00BB2082">
      <w:pPr>
        <w:jc w:val="both"/>
        <w:rPr>
          <w:sz w:val="20"/>
          <w:szCs w:val="16"/>
        </w:rPr>
      </w:pPr>
      <w:r>
        <w:rPr>
          <w:b/>
          <w:sz w:val="20"/>
        </w:rPr>
        <w:t>Pastaba.</w:t>
      </w:r>
      <w:r>
        <w:rPr>
          <w:sz w:val="20"/>
        </w:rPr>
        <w:t xml:space="preserve"> </w:t>
      </w:r>
      <w:r>
        <w:rPr>
          <w:sz w:val="20"/>
          <w:szCs w:val="16"/>
        </w:rPr>
        <w:t>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w:t>
      </w:r>
      <w:r>
        <w:rPr>
          <w:sz w:val="20"/>
          <w:szCs w:val="16"/>
        </w:rPr>
        <w:lastRenderedPageBreak/>
        <w:t>2027 metų Europos Sąjungos fondų investicijų programos ir Ekonomikos gaivinimo ir atsparumo didinimo plano „Naujos kartos Lietuva“ įgyvendinimo“, (toliau – Investicijų programos ir Plano „Naujos kartos Lietuva“ administravimo taisyklės) 72</w:t>
      </w:r>
      <w:r>
        <w:rPr>
          <w:sz w:val="20"/>
          <w:szCs w:val="16"/>
          <w:vertAlign w:val="superscript"/>
        </w:rPr>
        <w:t>1</w:t>
      </w:r>
      <w:r>
        <w:rPr>
          <w:sz w:val="20"/>
          <w:szCs w:val="16"/>
        </w:rPr>
        <w:t xml:space="preserve"> punkte.</w:t>
      </w:r>
    </w:p>
    <w:p w14:paraId="7FD45C75" w14:textId="77777777" w:rsidR="001F3D32" w:rsidRDefault="001F3D32">
      <w:pPr>
        <w:ind w:firstLine="567"/>
        <w:jc w:val="both"/>
        <w:rPr>
          <w:b/>
          <w:i/>
          <w:iCs/>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8"/>
        <w:gridCol w:w="3784"/>
        <w:gridCol w:w="3783"/>
        <w:gridCol w:w="3529"/>
      </w:tblGrid>
      <w:tr w:rsidR="001F3D32" w14:paraId="47065647" w14:textId="77777777">
        <w:trPr>
          <w:trHeight w:val="405"/>
        </w:trPr>
        <w:tc>
          <w:tcPr>
            <w:tcW w:w="14884" w:type="dxa"/>
            <w:gridSpan w:val="4"/>
            <w:vAlign w:val="center"/>
          </w:tcPr>
          <w:p w14:paraId="10EBF443" w14:textId="77777777" w:rsidR="001F3D32" w:rsidRDefault="00BB2082">
            <w:pPr>
              <w:rPr>
                <w:sz w:val="22"/>
                <w:szCs w:val="22"/>
              </w:rPr>
            </w:pPr>
            <w:r>
              <w:rPr>
                <w:b/>
                <w:sz w:val="22"/>
                <w:szCs w:val="22"/>
              </w:rPr>
              <w:t xml:space="preserve">2. Veiklos ar </w:t>
            </w:r>
            <w:proofErr w:type="spellStart"/>
            <w:r>
              <w:rPr>
                <w:b/>
                <w:sz w:val="22"/>
                <w:szCs w:val="22"/>
              </w:rPr>
              <w:t>poveiklės</w:t>
            </w:r>
            <w:proofErr w:type="spellEnd"/>
            <w:r>
              <w:rPr>
                <w:b/>
                <w:sz w:val="22"/>
                <w:szCs w:val="22"/>
              </w:rPr>
              <w:t xml:space="preserve"> rodikliai</w:t>
            </w:r>
          </w:p>
        </w:tc>
      </w:tr>
      <w:tr w:rsidR="001F3D32" w14:paraId="4DA3BFE7" w14:textId="77777777">
        <w:trPr>
          <w:trHeight w:val="576"/>
        </w:trPr>
        <w:tc>
          <w:tcPr>
            <w:tcW w:w="3788" w:type="dxa"/>
            <w:vAlign w:val="center"/>
          </w:tcPr>
          <w:p w14:paraId="5928B483" w14:textId="77777777" w:rsidR="001F3D32" w:rsidRDefault="00BB2082">
            <w:pPr>
              <w:jc w:val="center"/>
              <w:rPr>
                <w:sz w:val="22"/>
                <w:szCs w:val="22"/>
              </w:rPr>
            </w:pPr>
            <w:r>
              <w:rPr>
                <w:sz w:val="22"/>
                <w:szCs w:val="22"/>
              </w:rPr>
              <w:t>Rodiklio pavadinimas</w:t>
            </w:r>
          </w:p>
        </w:tc>
        <w:tc>
          <w:tcPr>
            <w:tcW w:w="3784" w:type="dxa"/>
            <w:vAlign w:val="center"/>
          </w:tcPr>
          <w:p w14:paraId="09A1F3D0" w14:textId="77777777" w:rsidR="001F3D32" w:rsidRDefault="00BB2082">
            <w:pPr>
              <w:jc w:val="center"/>
              <w:rPr>
                <w:sz w:val="22"/>
                <w:szCs w:val="22"/>
              </w:rPr>
            </w:pPr>
            <w:r>
              <w:rPr>
                <w:sz w:val="22"/>
                <w:szCs w:val="22"/>
              </w:rPr>
              <w:t>Rodiklio kodas</w:t>
            </w:r>
          </w:p>
        </w:tc>
        <w:tc>
          <w:tcPr>
            <w:tcW w:w="3783" w:type="dxa"/>
            <w:vAlign w:val="center"/>
          </w:tcPr>
          <w:p w14:paraId="25132D75" w14:textId="77777777" w:rsidR="001F3D32" w:rsidRDefault="00BB2082">
            <w:pPr>
              <w:jc w:val="center"/>
              <w:rPr>
                <w:sz w:val="22"/>
                <w:szCs w:val="22"/>
              </w:rPr>
            </w:pPr>
            <w:r>
              <w:rPr>
                <w:sz w:val="22"/>
                <w:szCs w:val="22"/>
              </w:rPr>
              <w:t>Matavimo vienetai</w:t>
            </w:r>
          </w:p>
        </w:tc>
        <w:tc>
          <w:tcPr>
            <w:tcW w:w="3529" w:type="dxa"/>
            <w:vAlign w:val="center"/>
          </w:tcPr>
          <w:p w14:paraId="6BC3B280" w14:textId="77777777" w:rsidR="001F3D32" w:rsidRDefault="00BB2082">
            <w:pPr>
              <w:jc w:val="center"/>
              <w:rPr>
                <w:sz w:val="22"/>
                <w:szCs w:val="22"/>
              </w:rPr>
            </w:pPr>
            <w:r>
              <w:rPr>
                <w:sz w:val="22"/>
                <w:szCs w:val="22"/>
              </w:rPr>
              <w:t>Siektina reikšmė ir pasiekimo data</w:t>
            </w:r>
          </w:p>
        </w:tc>
      </w:tr>
      <w:tr w:rsidR="001F3D32" w14:paraId="236A8E4A" w14:textId="77777777">
        <w:trPr>
          <w:trHeight w:val="416"/>
        </w:trPr>
        <w:tc>
          <w:tcPr>
            <w:tcW w:w="3788" w:type="dxa"/>
          </w:tcPr>
          <w:p w14:paraId="1E05CDDF" w14:textId="77777777" w:rsidR="001F3D32" w:rsidRDefault="00BB2082">
            <w:pPr>
              <w:jc w:val="center"/>
              <w:rPr>
                <w:sz w:val="22"/>
                <w:szCs w:val="22"/>
              </w:rPr>
            </w:pPr>
            <w:r>
              <w:rPr>
                <w:sz w:val="22"/>
                <w:szCs w:val="22"/>
              </w:rPr>
              <w:t>Naujai nutiestų ar atnaujintų dviračių arba bendrų dviračių ir pėsčiųjų takų  ilgis</w:t>
            </w:r>
          </w:p>
        </w:tc>
        <w:tc>
          <w:tcPr>
            <w:tcW w:w="3784" w:type="dxa"/>
          </w:tcPr>
          <w:p w14:paraId="5FB7AC64" w14:textId="77777777" w:rsidR="001F3D32" w:rsidRDefault="00BB2082">
            <w:pPr>
              <w:jc w:val="center"/>
              <w:rPr>
                <w:sz w:val="22"/>
                <w:szCs w:val="22"/>
              </w:rPr>
            </w:pPr>
            <w:r>
              <w:rPr>
                <w:sz w:val="22"/>
                <w:szCs w:val="22"/>
              </w:rPr>
              <w:t xml:space="preserve">P-10-001-06-01-02-04 </w:t>
            </w:r>
          </w:p>
          <w:p w14:paraId="245D6401" w14:textId="77777777" w:rsidR="001F3D32" w:rsidRDefault="00BB2082">
            <w:pPr>
              <w:jc w:val="center"/>
              <w:rPr>
                <w:sz w:val="22"/>
                <w:szCs w:val="22"/>
              </w:rPr>
            </w:pPr>
            <w:r>
              <w:rPr>
                <w:sz w:val="22"/>
                <w:szCs w:val="22"/>
              </w:rPr>
              <w:t>(P.S.1.1</w:t>
            </w:r>
            <w:r>
              <w:rPr>
                <w:sz w:val="22"/>
                <w:szCs w:val="22"/>
                <w:lang w:val="en-US"/>
              </w:rPr>
              <w:t>223</w:t>
            </w:r>
            <w:r>
              <w:rPr>
                <w:sz w:val="22"/>
                <w:szCs w:val="22"/>
              </w:rPr>
              <w:t xml:space="preserve">) </w:t>
            </w:r>
          </w:p>
          <w:p w14:paraId="2DD22E84" w14:textId="77777777" w:rsidR="001F3D32" w:rsidRDefault="001F3D32">
            <w:pPr>
              <w:jc w:val="center"/>
              <w:rPr>
                <w:i/>
                <w:iCs/>
                <w:sz w:val="22"/>
                <w:szCs w:val="22"/>
              </w:rPr>
            </w:pPr>
          </w:p>
        </w:tc>
        <w:tc>
          <w:tcPr>
            <w:tcW w:w="3783" w:type="dxa"/>
          </w:tcPr>
          <w:p w14:paraId="734F419C" w14:textId="77777777" w:rsidR="001F3D32" w:rsidRDefault="00BB2082">
            <w:pPr>
              <w:jc w:val="center"/>
              <w:rPr>
                <w:sz w:val="22"/>
                <w:szCs w:val="22"/>
              </w:rPr>
            </w:pPr>
            <w:r>
              <w:rPr>
                <w:sz w:val="22"/>
                <w:szCs w:val="22"/>
              </w:rPr>
              <w:t>km</w:t>
            </w:r>
          </w:p>
        </w:tc>
        <w:tc>
          <w:tcPr>
            <w:tcW w:w="3529" w:type="dxa"/>
          </w:tcPr>
          <w:p w14:paraId="4294FEB3" w14:textId="77777777" w:rsidR="001F3D32" w:rsidRDefault="00BB2082">
            <w:pPr>
              <w:jc w:val="center"/>
              <w:rPr>
                <w:sz w:val="22"/>
                <w:szCs w:val="22"/>
              </w:rPr>
            </w:pPr>
            <w:r>
              <w:rPr>
                <w:sz w:val="22"/>
                <w:szCs w:val="22"/>
              </w:rPr>
              <w:t>74</w:t>
            </w:r>
          </w:p>
          <w:p w14:paraId="68FBEAC6" w14:textId="77777777" w:rsidR="001F3D32" w:rsidRDefault="00BB2082">
            <w:pPr>
              <w:jc w:val="center"/>
              <w:rPr>
                <w:szCs w:val="24"/>
              </w:rPr>
            </w:pPr>
            <w:r>
              <w:rPr>
                <w:szCs w:val="24"/>
              </w:rPr>
              <w:t xml:space="preserve">(2026 m. II </w:t>
            </w:r>
            <w:proofErr w:type="spellStart"/>
            <w:r>
              <w:rPr>
                <w:szCs w:val="24"/>
              </w:rPr>
              <w:t>ketv</w:t>
            </w:r>
            <w:proofErr w:type="spellEnd"/>
            <w:r>
              <w:rPr>
                <w:szCs w:val="24"/>
              </w:rPr>
              <w:t>.)</w:t>
            </w:r>
          </w:p>
        </w:tc>
      </w:tr>
    </w:tbl>
    <w:p w14:paraId="49E176FD" w14:textId="77777777" w:rsidR="001F3D32" w:rsidRDefault="001F3D32">
      <w:pPr>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1F3D32" w14:paraId="03A20C18" w14:textId="77777777">
        <w:trPr>
          <w:trHeight w:val="298"/>
        </w:trPr>
        <w:tc>
          <w:tcPr>
            <w:tcW w:w="14879" w:type="dxa"/>
          </w:tcPr>
          <w:p w14:paraId="699E9409" w14:textId="77777777" w:rsidR="001F3D32" w:rsidRDefault="00BB2082">
            <w:pPr>
              <w:jc w:val="both"/>
              <w:rPr>
                <w:szCs w:val="24"/>
              </w:rPr>
            </w:pPr>
            <w:r>
              <w:rPr>
                <w:b/>
                <w:bCs/>
                <w:szCs w:val="24"/>
              </w:rPr>
              <w:t>3.</w:t>
            </w:r>
            <w:r>
              <w:rPr>
                <w:szCs w:val="24"/>
              </w:rPr>
              <w:t xml:space="preserve"> </w:t>
            </w:r>
            <w:r>
              <w:rPr>
                <w:b/>
                <w:bCs/>
                <w:szCs w:val="24"/>
              </w:rPr>
              <w:t>Ministerijos stebėsenos rodiklių aprašymo kortelės</w:t>
            </w:r>
          </w:p>
        </w:tc>
      </w:tr>
      <w:tr w:rsidR="001F3D32" w14:paraId="08F0A800" w14:textId="77777777">
        <w:trPr>
          <w:trHeight w:val="315"/>
        </w:trPr>
        <w:tc>
          <w:tcPr>
            <w:tcW w:w="14879" w:type="dxa"/>
          </w:tcPr>
          <w:p w14:paraId="7AB69AA1" w14:textId="77777777" w:rsidR="001F3D32" w:rsidRDefault="00BB2082">
            <w:pPr>
              <w:jc w:val="both"/>
              <w:rPr>
                <w:szCs w:val="24"/>
              </w:rPr>
            </w:pPr>
            <w:r>
              <w:rPr>
                <w:szCs w:val="24"/>
              </w:rPr>
              <w:t>Pasiekta stebėsenos rodiklio reikšmė apskaičiuojama pagal metodiką, nustatytą Stebėsenos rodiklių aprašymo kortelėse, kurios pateiktos 2022–2030 metų plėtros programos valdytojos Lietuvos Respublikos susisiekimo ministerijos susisiekimo plėtros programos pažangos priemonės Nr. 0-001-06-01-02 „Skatinti darnų judumą“ aprašo 1 priede ir paskelbtos Lietuvos Respublikos susisiekimo ministerijos interneto svetainėje</w:t>
            </w:r>
          </w:p>
          <w:p w14:paraId="4A570F3E" w14:textId="77777777" w:rsidR="001F3D32" w:rsidRDefault="00BB2082">
            <w:pPr>
              <w:jc w:val="both"/>
              <w:rPr>
                <w:i/>
                <w:iCs/>
                <w:szCs w:val="24"/>
              </w:rPr>
            </w:pPr>
            <w:r>
              <w:rPr>
                <w:i/>
                <w:iCs/>
                <w:szCs w:val="24"/>
              </w:rPr>
              <w:t>https://sumin.lrv.lt/lt/administracine-informacija/planavimo-dokumentai/patvirtintos-pletros-programos-pazangos-priemones/pazangos-priemone-nr-10-001-06-01-02-skatinti-darnu-juduma/</w:t>
            </w:r>
          </w:p>
        </w:tc>
      </w:tr>
    </w:tbl>
    <w:p w14:paraId="1369BFC0" w14:textId="77777777" w:rsidR="001F3D32" w:rsidRDefault="001F3D32">
      <w:pPr>
        <w:jc w:val="center"/>
        <w:rPr>
          <w:szCs w:val="24"/>
        </w:rPr>
      </w:pPr>
    </w:p>
    <w:p w14:paraId="5AEDE19F" w14:textId="77777777" w:rsidR="001F3D32" w:rsidRDefault="00BB2082">
      <w:pPr>
        <w:jc w:val="center"/>
        <w:rPr>
          <w:b/>
          <w:bCs/>
          <w:szCs w:val="24"/>
        </w:rPr>
      </w:pPr>
      <w:r>
        <w:rPr>
          <w:b/>
          <w:bCs/>
          <w:szCs w:val="24"/>
        </w:rPr>
        <w:t>II SKYRIUS</w:t>
      </w:r>
    </w:p>
    <w:p w14:paraId="72F5656E" w14:textId="77777777" w:rsidR="001F3D32" w:rsidRDefault="00BB2082">
      <w:pPr>
        <w:jc w:val="center"/>
        <w:rPr>
          <w:b/>
          <w:szCs w:val="24"/>
        </w:rPr>
      </w:pPr>
      <w:r>
        <w:rPr>
          <w:b/>
          <w:szCs w:val="24"/>
        </w:rPr>
        <w:t>SPECIALIEJI FINANSAVIMO REIKALAVIMAI</w:t>
      </w:r>
    </w:p>
    <w:p w14:paraId="4B41108A" w14:textId="77777777" w:rsidR="001F3D32" w:rsidRDefault="001F3D32">
      <w:pPr>
        <w:rPr>
          <w:b/>
          <w:i/>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9"/>
      </w:tblGrid>
      <w:tr w:rsidR="001F3D32" w14:paraId="019FE27E" w14:textId="77777777">
        <w:tc>
          <w:tcPr>
            <w:tcW w:w="14879" w:type="dxa"/>
          </w:tcPr>
          <w:p w14:paraId="1A246769" w14:textId="77777777" w:rsidR="001F3D32" w:rsidRDefault="00BB2082">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1F3D32" w14:paraId="736AE156" w14:textId="77777777">
        <w:tc>
          <w:tcPr>
            <w:tcW w:w="14879" w:type="dxa"/>
          </w:tcPr>
          <w:p w14:paraId="6DC0A9DA" w14:textId="77777777" w:rsidR="001F3D32" w:rsidRDefault="00BB2082">
            <w:pPr>
              <w:jc w:val="both"/>
              <w:rPr>
                <w:szCs w:val="24"/>
              </w:rPr>
            </w:pPr>
            <w:r>
              <w:rPr>
                <w:szCs w:val="24"/>
              </w:rPr>
              <w:t xml:space="preserve">4.1. 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susisiekimo ministerijos susisiekimo plėtros programos pažangos priemonės Nr. 10-001-06-01-02 „Skatinti darnų judumą“ veiklos „Dviračių ir pėsčiųjų infrastruktūros vystymas“ </w:t>
            </w:r>
            <w:proofErr w:type="spellStart"/>
            <w:r>
              <w:rPr>
                <w:szCs w:val="24"/>
              </w:rPr>
              <w:t>poveiklės</w:t>
            </w:r>
            <w:proofErr w:type="spellEnd"/>
            <w:r>
              <w:rPr>
                <w:szCs w:val="24"/>
              </w:rPr>
              <w:t xml:space="preserve"> „Dviračių ir pėsčiųjų infrastruktūros vystymas šalia valstybinės reikšmės kelių“ projektų finansavimo sąlygų aprašą (toliau – Aprašas):</w:t>
            </w:r>
          </w:p>
          <w:p w14:paraId="1341053D" w14:textId="77777777" w:rsidR="001F3D32" w:rsidRDefault="00BB2082">
            <w:pPr>
              <w:jc w:val="both"/>
              <w:rPr>
                <w:szCs w:val="24"/>
              </w:rPr>
            </w:pPr>
            <w:r>
              <w:rPr>
                <w:szCs w:val="24"/>
              </w:rPr>
              <w:t xml:space="preserve">4.1.1. 2021 m. vasario 12 d. Europos Parlamento ir Tarybos reglamentas </w:t>
            </w:r>
            <w:hyperlink r:id="rId11" w:tgtFrame="_blank" w:history="1">
              <w:r>
                <w:rPr>
                  <w:color w:val="0563C1" w:themeColor="hyperlink"/>
                  <w:szCs w:val="24"/>
                  <w:u w:val="single"/>
                </w:rPr>
                <w:t>(ES) 2021/241</w:t>
              </w:r>
            </w:hyperlink>
            <w:r>
              <w:rPr>
                <w:szCs w:val="24"/>
              </w:rPr>
              <w:t>, kuriuo nustatoma ekonomikos gaivinimo ir atsparumo didinimo priemonė;</w:t>
            </w:r>
          </w:p>
          <w:p w14:paraId="4072A989" w14:textId="77777777" w:rsidR="001F3D32" w:rsidRDefault="00BB2082">
            <w:pPr>
              <w:jc w:val="both"/>
              <w:rPr>
                <w:szCs w:val="24"/>
              </w:rPr>
            </w:pPr>
            <w:r>
              <w:rPr>
                <w:szCs w:val="24"/>
              </w:rPr>
              <w:t>4.1.2. 2021 m. liepos 28 d. Europos Tarybos įgyvendinimo sprendimas dėl Lietuvos ekonomikos gaivinimo ir atsparumo didinimo plano „Naujos kartos Lietuva“ įvertinimo patvirtinimo;</w:t>
            </w:r>
          </w:p>
          <w:p w14:paraId="09DEC557" w14:textId="77777777" w:rsidR="001F3D32" w:rsidRDefault="00BB2082">
            <w:pPr>
              <w:jc w:val="both"/>
              <w:rPr>
                <w:szCs w:val="24"/>
              </w:rPr>
            </w:pPr>
            <w:r>
              <w:rPr>
                <w:szCs w:val="24"/>
              </w:rPr>
              <w:t>4.1.3. 2021–2030 metų nacionalinis pažangos planas, patvirtintas Lietuvos Respublikos Vyriausybės 2020 m. rugsėjo 9 d. nutarimu Nr. 998 „Dėl 2021–2030 metų nacionalinio pažangos plano patvirtinimo“ (toliau – Nacionalinis pažangos planas);</w:t>
            </w:r>
          </w:p>
          <w:p w14:paraId="4245428B" w14:textId="77777777" w:rsidR="001F3D32" w:rsidRDefault="00BB2082">
            <w:pPr>
              <w:jc w:val="both"/>
              <w:rPr>
                <w:szCs w:val="24"/>
              </w:rPr>
            </w:pPr>
            <w:r>
              <w:rPr>
                <w:szCs w:val="24"/>
              </w:rPr>
              <w:lastRenderedPageBreak/>
              <w:t>4.1.4. 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w:t>
            </w:r>
          </w:p>
          <w:p w14:paraId="7616A137" w14:textId="77777777" w:rsidR="001F3D32" w:rsidRDefault="00BB2082">
            <w:pPr>
              <w:jc w:val="both"/>
              <w:rPr>
                <w:szCs w:val="24"/>
              </w:rPr>
            </w:pPr>
            <w:r>
              <w:rPr>
                <w:szCs w:val="24"/>
              </w:rPr>
              <w:t>4.1.5.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w:t>
            </w:r>
          </w:p>
          <w:p w14:paraId="5D33A933" w14:textId="77777777" w:rsidR="001F3D32" w:rsidRDefault="00BB2082">
            <w:pPr>
              <w:jc w:val="both"/>
              <w:rPr>
                <w:szCs w:val="24"/>
              </w:rPr>
            </w:pPr>
            <w:r>
              <w:rPr>
                <w:szCs w:val="24"/>
              </w:rPr>
              <w:t>4.1.6. Lietuvos Respublikos statybos įstatymas;</w:t>
            </w:r>
          </w:p>
          <w:p w14:paraId="21EEEADD" w14:textId="77777777" w:rsidR="001F3D32" w:rsidRDefault="00BB2082">
            <w:pPr>
              <w:jc w:val="both"/>
              <w:rPr>
                <w:szCs w:val="24"/>
              </w:rPr>
            </w:pPr>
            <w:r>
              <w:rPr>
                <w:szCs w:val="24"/>
              </w:rPr>
              <w:t>4.1.7.</w:t>
            </w:r>
            <w:r>
              <w:t xml:space="preserve"> </w:t>
            </w:r>
            <w:r>
              <w:rPr>
                <w:szCs w:val="24"/>
              </w:rPr>
              <w:t>Dviračių ir pėsčiųjų eismo infrastruktūros planavimo ir projektavimo taisyklės, patvirtintos Lietuvos Respublikos susisiekimo ministro 2024 m. lapkričio 26 d. įsakymu Nr. 3-415 „Dėl Dviračių ir pėsčiųjų eismo infrastruktūros planavimo ir projektavimo taisyklių patvirtinimo“ (toliau – Taisyklės);</w:t>
            </w:r>
          </w:p>
          <w:p w14:paraId="65B4D1E3" w14:textId="77777777" w:rsidR="001F3D32" w:rsidRDefault="00BB2082">
            <w:pPr>
              <w:jc w:val="both"/>
              <w:rPr>
                <w:szCs w:val="24"/>
              </w:rPr>
            </w:pPr>
            <w:r>
              <w:rPr>
                <w:szCs w:val="24"/>
              </w:rPr>
              <w:t>4.1.8. statybos techninis reglamentas STR 2.06.04:2014 „Gatvės ir vietinės reikšmės keliai. Bendrieji reikalavimai“, patvirtintas Lietuvos Respublikos aplinkos ministro 2011 m. gruodžio 2 d. įsakymu Nr. D1-933 „Dėl statybos techninio reglamento STR 2.06.04:2014 „Gatvės ir vietinės reikšmės keliai. Bendrieji reikalavimai“ patvirtinimo“.</w:t>
            </w:r>
          </w:p>
          <w:p w14:paraId="64E4D4BE" w14:textId="77777777" w:rsidR="001F3D32" w:rsidRDefault="00BB2082">
            <w:pPr>
              <w:jc w:val="both"/>
              <w:rPr>
                <w:szCs w:val="24"/>
              </w:rPr>
            </w:pPr>
            <w:r>
              <w:rPr>
                <w:szCs w:val="24"/>
              </w:rPr>
              <w:t xml:space="preserve">4.2. Apraše vartojamos sąvokos suprantamos taip, kaip jos apibrėžtos Aprašo 4.1 papunktyje nurodytuose teisės aktuose, Lietuvos Respublikos transporto veiklos pagrindų įstatyme, Lietuvos Respublikos saugaus eismo automobilių keliais įstatyme, Lietuvos Respublikos strateginio valdymo įstatyme, Lietuvos Respublikos technologijų ir inovacijų įstatyme, Statybos įstatyme, Strateginio valdymo metodikoje, patvirtintoje Lietuvos Respublikos Vyriausybės 2021 m. balandžio 28 d. nutarimu Nr. 292 „Dėl Strateginio valdymo metodikos patvirtinimo“. </w:t>
            </w:r>
          </w:p>
          <w:p w14:paraId="39C270B7" w14:textId="77777777" w:rsidR="001F3D32" w:rsidRDefault="001F3D32">
            <w:pPr>
              <w:jc w:val="both"/>
              <w:rPr>
                <w:sz w:val="22"/>
                <w:szCs w:val="22"/>
              </w:rPr>
            </w:pPr>
          </w:p>
        </w:tc>
      </w:tr>
      <w:tr w:rsidR="001F3D32" w14:paraId="30D4AC06" w14:textId="77777777">
        <w:tc>
          <w:tcPr>
            <w:tcW w:w="14879" w:type="dxa"/>
          </w:tcPr>
          <w:p w14:paraId="66539DAC" w14:textId="77777777" w:rsidR="001F3D32" w:rsidRDefault="00BB2082">
            <w:pPr>
              <w:rPr>
                <w:bCs/>
                <w:szCs w:val="24"/>
              </w:rPr>
            </w:pPr>
            <w:r>
              <w:rPr>
                <w:b/>
                <w:szCs w:val="24"/>
              </w:rPr>
              <w:lastRenderedPageBreak/>
              <w:t>5</w:t>
            </w:r>
            <w:r>
              <w:rPr>
                <w:bCs/>
                <w:szCs w:val="24"/>
              </w:rPr>
              <w:t xml:space="preserve">. </w:t>
            </w:r>
            <w:r>
              <w:rPr>
                <w:b/>
                <w:szCs w:val="24"/>
              </w:rPr>
              <w:t xml:space="preserve">Reikalavimai projektams, pareiškėjams ir partneriams </w:t>
            </w:r>
          </w:p>
        </w:tc>
      </w:tr>
      <w:tr w:rsidR="001F3D32" w14:paraId="05649C0B" w14:textId="77777777">
        <w:trPr>
          <w:trHeight w:val="2121"/>
        </w:trPr>
        <w:tc>
          <w:tcPr>
            <w:tcW w:w="14879" w:type="dxa"/>
          </w:tcPr>
          <w:p w14:paraId="69D8222B" w14:textId="77777777" w:rsidR="001F3D32" w:rsidRDefault="00BB2082">
            <w:pPr>
              <w:ind w:hanging="44"/>
              <w:jc w:val="both"/>
              <w:rPr>
                <w:bCs/>
                <w:szCs w:val="24"/>
              </w:rPr>
            </w:pPr>
            <w:r>
              <w:rPr>
                <w:szCs w:val="24"/>
              </w:rPr>
              <w:t>5.1. Pagal Aprašą finansuojama veikla –</w:t>
            </w:r>
            <w:r>
              <w:rPr>
                <w:iCs/>
                <w:szCs w:val="24"/>
              </w:rPr>
              <w:t xml:space="preserve"> d</w:t>
            </w:r>
            <w:r>
              <w:rPr>
                <w:szCs w:val="24"/>
              </w:rPr>
              <w:t>viračių ir pėsčiųjų infrastruktūros vystymas šalia valstybinės reikšmės kelių, prioritetą teikiant dviračių vientisų trasų įrengimui šalia valstybinės reikšmės kelių, sujungiant jas su savivaldybių dviračių ir pėsčiųjų takais, ir didžiausią esamų bei potencialių naudotojų skaičių turinčių naujų dviračių ir pėsčiųjų takų įrengimui, takų rekonstravimui ir</w:t>
            </w:r>
            <w:r>
              <w:rPr>
                <w:b/>
                <w:szCs w:val="24"/>
              </w:rPr>
              <w:t xml:space="preserve"> </w:t>
            </w:r>
            <w:r>
              <w:rPr>
                <w:bCs/>
                <w:szCs w:val="24"/>
              </w:rPr>
              <w:t>remontui.</w:t>
            </w:r>
          </w:p>
          <w:p w14:paraId="23A3AA1C" w14:textId="77777777" w:rsidR="001F3D32" w:rsidRDefault="00BB2082">
            <w:pPr>
              <w:ind w:hanging="44"/>
              <w:jc w:val="both"/>
              <w:rPr>
                <w:kern w:val="24"/>
                <w:szCs w:val="24"/>
              </w:rPr>
            </w:pPr>
            <w:r>
              <w:rPr>
                <w:bCs/>
                <w:szCs w:val="24"/>
              </w:rPr>
              <w:t>5.2. Projekto įgyvendinimo planas gali būti teikiamas tik tuomet, jei planuojamam tvarkyti dviračių infrastruktūros objektui (jei bus tvarkomas vienas objektas) ar visiems objektams (jei planuojama tvarkyti daugiau objektų) yra parengti ir patvirtinti statinio projektai ir gautas statybą leidžiantis dokumentas, jei toks yra privalomas pagal Statybos įstatymą.</w:t>
            </w:r>
          </w:p>
          <w:p w14:paraId="58C1A985" w14:textId="77777777" w:rsidR="001F3D32" w:rsidRDefault="00BB2082">
            <w:pPr>
              <w:jc w:val="both"/>
              <w:rPr>
                <w:szCs w:val="24"/>
              </w:rPr>
            </w:pPr>
            <w:r>
              <w:rPr>
                <w:szCs w:val="24"/>
                <w:lang w:eastAsia="lt-LT"/>
              </w:rPr>
              <w:t xml:space="preserve">5.3. </w:t>
            </w:r>
            <w:r w:rsidR="00D32BF2">
              <w:rPr>
                <w:color w:val="000000"/>
                <w:shd w:val="clear" w:color="auto" w:fill="FFFFFF"/>
              </w:rPr>
              <w:t>Pagal Aprašą galima pareiškėja yra</w:t>
            </w:r>
            <w:r w:rsidR="00D32BF2">
              <w:rPr>
                <w:color w:val="000000"/>
              </w:rPr>
              <w:t> akcinė bendrovė „Via Lietuva“, </w:t>
            </w:r>
            <w:r w:rsidR="00D32BF2">
              <w:rPr>
                <w:color w:val="000000"/>
                <w:shd w:val="clear" w:color="auto" w:fill="FFFFFF"/>
              </w:rPr>
              <w:t>galimi partneriai yra savivaldybių administracijos.</w:t>
            </w:r>
            <w:r w:rsidR="00D32BF2">
              <w:rPr>
                <w:color w:val="000000"/>
              </w:rPr>
              <w:t> Pareiškėjas yra tiesiogiai atsakingas už projekto parengimą, įgyvendinimą ir rezultatus nepriklausomai nuo to, ar pareiškėjas projektą įgyvendina vienas, ar kartu su partneriu. Partneris yra galimas, kai projekto lėšomis tvarkomas partnerio turtas, kurio apskaita priklauso partnerio dispozicijai</w:t>
            </w:r>
            <w:r>
              <w:rPr>
                <w:szCs w:val="24"/>
              </w:rPr>
              <w:t>.</w:t>
            </w:r>
          </w:p>
          <w:p w14:paraId="189139BF" w14:textId="77777777" w:rsidR="001F3D32" w:rsidRDefault="00BB2082">
            <w:pPr>
              <w:jc w:val="both"/>
              <w:rPr>
                <w:szCs w:val="24"/>
              </w:rPr>
            </w:pPr>
            <w:r>
              <w:rPr>
                <w:szCs w:val="24"/>
              </w:rPr>
              <w:t>5.4. Projektą administruoja viešoji įstaiga Centrinė projektų valdymo agentūra (toliau – Administruojančioji institucija).</w:t>
            </w:r>
          </w:p>
          <w:p w14:paraId="1661137B" w14:textId="77777777" w:rsidR="001F3D32" w:rsidRDefault="00BB2082">
            <w:pPr>
              <w:tabs>
                <w:tab w:val="left" w:pos="426"/>
                <w:tab w:val="left" w:pos="709"/>
                <w:tab w:val="left" w:pos="910"/>
                <w:tab w:val="left" w:pos="1090"/>
              </w:tabs>
              <w:jc w:val="both"/>
              <w:rPr>
                <w:bCs/>
                <w:iCs/>
                <w:szCs w:val="24"/>
                <w:lang w:eastAsia="lt-LT"/>
              </w:rPr>
            </w:pPr>
            <w:r>
              <w:rPr>
                <w:bCs/>
                <w:iCs/>
                <w:szCs w:val="24"/>
                <w:lang w:eastAsia="lt-LT"/>
              </w:rPr>
              <w:t>5.5. Jeigu projektas įgyvendinamas su partneriu (-</w:t>
            </w:r>
            <w:proofErr w:type="spellStart"/>
            <w:r>
              <w:rPr>
                <w:bCs/>
                <w:iCs/>
                <w:szCs w:val="24"/>
                <w:lang w:eastAsia="lt-LT"/>
              </w:rPr>
              <w:t>iais</w:t>
            </w:r>
            <w:proofErr w:type="spellEnd"/>
            <w:r>
              <w:rPr>
                <w:bCs/>
                <w:iCs/>
                <w:szCs w:val="24"/>
                <w:lang w:eastAsia="lt-LT"/>
              </w:rPr>
              <w:t xml:space="preserve">), partnerystė projekte turi būti pagrįsta ekonomine ir socialine nauda, prisidėti prie projekto tikslo įgyvendinimo ir iki </w:t>
            </w:r>
            <w:r>
              <w:rPr>
                <w:szCs w:val="24"/>
                <w:lang w:eastAsia="lt-LT"/>
              </w:rPr>
              <w:t>projekto įgyvendinimo plano (toliau – PĮP)</w:t>
            </w:r>
            <w:r>
              <w:rPr>
                <w:bCs/>
                <w:iCs/>
                <w:szCs w:val="24"/>
                <w:lang w:eastAsia="lt-LT"/>
              </w:rPr>
              <w:t xml:space="preserve"> pateikimo </w:t>
            </w:r>
            <w:r>
              <w:rPr>
                <w:szCs w:val="24"/>
                <w:lang w:eastAsia="lt-LT"/>
              </w:rPr>
              <w:t xml:space="preserve">Administruojančiajai institucijai </w:t>
            </w:r>
            <w:r>
              <w:rPr>
                <w:bCs/>
                <w:iCs/>
                <w:szCs w:val="24"/>
                <w:lang w:eastAsia="lt-LT"/>
              </w:rPr>
              <w:t>turi būti sudaryta jungtinės veiklos (partnerystės) sutartis. Jungtinės veiklos (partnerystės) sutartį pasirašo pareiškėjas ir projekto partneris (-</w:t>
            </w:r>
            <w:proofErr w:type="spellStart"/>
            <w:r>
              <w:rPr>
                <w:bCs/>
                <w:iCs/>
                <w:szCs w:val="24"/>
                <w:lang w:eastAsia="lt-LT"/>
              </w:rPr>
              <w:t>iai</w:t>
            </w:r>
            <w:proofErr w:type="spellEnd"/>
            <w:r>
              <w:rPr>
                <w:bCs/>
                <w:iCs/>
                <w:szCs w:val="24"/>
                <w:lang w:eastAsia="lt-LT"/>
              </w:rPr>
              <w:t xml:space="preserve">). Jungtinės veiklos (partnerystės) sutartyje turi būti aiškiai išdėstyti šalių įsipareigojimai ir teisės projekto atžvilgiu (nurodytas kiekvienos šalies finansinis ir dalykinis indėlis į projektą, kokias </w:t>
            </w:r>
            <w:r>
              <w:rPr>
                <w:bCs/>
                <w:iCs/>
                <w:szCs w:val="24"/>
                <w:lang w:eastAsia="lt-LT"/>
              </w:rPr>
              <w:lastRenderedPageBreak/>
              <w:t>veiklas vykdys kiekviena šalis, projekto rezultatai ir kita) ir šalių atsakomybė, taip pat įsipareigojimai laikytis pagrindinių geros partnerystės praktikos taisyklių.</w:t>
            </w:r>
          </w:p>
          <w:p w14:paraId="253506EA" w14:textId="77777777" w:rsidR="001F3D32" w:rsidRDefault="00BB2082">
            <w:pPr>
              <w:tabs>
                <w:tab w:val="left" w:pos="426"/>
                <w:tab w:val="left" w:pos="709"/>
                <w:tab w:val="left" w:pos="910"/>
                <w:tab w:val="left" w:pos="1090"/>
              </w:tabs>
              <w:jc w:val="both"/>
              <w:rPr>
                <w:szCs w:val="24"/>
              </w:rPr>
            </w:pPr>
            <w:r>
              <w:rPr>
                <w:szCs w:val="24"/>
              </w:rPr>
              <w:t>5.6. Pagal Aprašą teikiamo finansavimo forma – dotacija.</w:t>
            </w:r>
          </w:p>
          <w:p w14:paraId="7E56FF71" w14:textId="77777777" w:rsidR="001F3D32" w:rsidRDefault="00BB2082">
            <w:pPr>
              <w:jc w:val="both"/>
              <w:rPr>
                <w:szCs w:val="24"/>
              </w:rPr>
            </w:pPr>
            <w:r>
              <w:rPr>
                <w:szCs w:val="24"/>
              </w:rPr>
              <w:t xml:space="preserve">5.7. </w:t>
            </w:r>
            <w:r>
              <w:rPr>
                <w:szCs w:val="24"/>
                <w:lang w:eastAsia="lt-LT"/>
              </w:rPr>
              <w:t>Projektų atranka atliekama planavimo būdu.</w:t>
            </w:r>
            <w:r>
              <w:rPr>
                <w:szCs w:val="24"/>
              </w:rPr>
              <w:t xml:space="preserve"> </w:t>
            </w:r>
          </w:p>
          <w:p w14:paraId="6A929A58" w14:textId="77777777" w:rsidR="001F3D32" w:rsidRDefault="00BB2082">
            <w:pPr>
              <w:jc w:val="both"/>
              <w:rPr>
                <w:szCs w:val="24"/>
              </w:rPr>
            </w:pPr>
            <w:r>
              <w:t xml:space="preserve">5.8. </w:t>
            </w:r>
            <w:r>
              <w:rPr>
                <w:szCs w:val="24"/>
              </w:rPr>
              <w:t xml:space="preserve">Didžiausia galima projektų finansuojama dalis – iki 100 proc. visų tinkamų finansuoti projekto išlaidų. </w:t>
            </w:r>
            <w:r>
              <w:rPr>
                <w:bCs/>
                <w:szCs w:val="24"/>
              </w:rPr>
              <w:t>Pridėtinės vertės mokestis yra netinkamas finansuoti EGADP lėšomis ir yra dengiamas pareiškėjo</w:t>
            </w:r>
            <w:r>
              <w:rPr>
                <w:szCs w:val="24"/>
              </w:rPr>
              <w:t>.</w:t>
            </w:r>
          </w:p>
          <w:p w14:paraId="15380B65" w14:textId="77777777" w:rsidR="001F3D32" w:rsidRDefault="00BB2082">
            <w:pPr>
              <w:jc w:val="both"/>
              <w:rPr>
                <w:szCs w:val="24"/>
                <w:lang w:eastAsia="lt-LT"/>
              </w:rPr>
            </w:pPr>
            <w:r>
              <w:rPr>
                <w:szCs w:val="24"/>
                <w:lang w:eastAsia="lt-LT"/>
              </w:rPr>
              <w:t>5.9. Galimi projekto veiklų finansavimo šaltiniai ir finansavimo sumos nurodytos 2022–2030 metų plėtros programos valdytojos Lietuvos Respublikos susisiekimo ministerijos susisiekimo plėtros programos pažangos priemonės Nr. 10-001-06-01-02</w:t>
            </w:r>
            <w:r>
              <w:rPr>
                <w:szCs w:val="24"/>
              </w:rPr>
              <w:t xml:space="preserve"> </w:t>
            </w:r>
            <w:r>
              <w:rPr>
                <w:szCs w:val="24"/>
                <w:lang w:eastAsia="lt-LT"/>
              </w:rPr>
              <w:t>„Skatinti darnų judumą“ aprašo III skyriuje.</w:t>
            </w:r>
          </w:p>
          <w:p w14:paraId="2219EAF9" w14:textId="77777777" w:rsidR="001F3D32" w:rsidRDefault="00BB2082">
            <w:pPr>
              <w:tabs>
                <w:tab w:val="left" w:pos="0"/>
                <w:tab w:val="left" w:pos="709"/>
                <w:tab w:val="left" w:pos="1276"/>
                <w:tab w:val="left" w:pos="1701"/>
              </w:tabs>
              <w:jc w:val="both"/>
              <w:rPr>
                <w:szCs w:val="24"/>
              </w:rPr>
            </w:pPr>
            <w:r>
              <w:rPr>
                <w:szCs w:val="24"/>
                <w:lang w:eastAsia="lt-LT"/>
              </w:rPr>
              <w:t>5.10. Projektu turi būti siekiama Apraše nustatytų stebėsenos rodiklių, kurių skaičiavimo aprašus galima rasti</w:t>
            </w:r>
            <w:r>
              <w:rPr>
                <w:szCs w:val="24"/>
                <w:shd w:val="clear" w:color="auto" w:fill="FFFFFF"/>
                <w:lang w:eastAsia="lt-LT"/>
              </w:rPr>
              <w:t xml:space="preserve"> pagal Aprašo </w:t>
            </w:r>
            <w:r>
              <w:rPr>
                <w:szCs w:val="24"/>
              </w:rPr>
              <w:t xml:space="preserve">dalyje </w:t>
            </w:r>
            <w:r>
              <w:rPr>
                <w:szCs w:val="24"/>
                <w:shd w:val="clear" w:color="auto" w:fill="FFFFFF"/>
                <w:lang w:eastAsia="lt-LT"/>
              </w:rPr>
              <w:t>„</w:t>
            </w:r>
            <w:r>
              <w:rPr>
                <w:szCs w:val="24"/>
              </w:rPr>
              <w:t>Ministerijos stebėsenos rodiklių aprašymo kortelės“ pateiktas nuorodas.</w:t>
            </w:r>
          </w:p>
          <w:p w14:paraId="57581EA8" w14:textId="77777777" w:rsidR="001F3D32" w:rsidRDefault="00BB2082">
            <w:pPr>
              <w:keepLines/>
              <w:tabs>
                <w:tab w:val="left" w:pos="600"/>
              </w:tabs>
              <w:jc w:val="both"/>
              <w:outlineLvl w:val="1"/>
              <w:rPr>
                <w:szCs w:val="24"/>
              </w:rPr>
            </w:pPr>
            <w:r>
              <w:rPr>
                <w:szCs w:val="24"/>
                <w:lang w:eastAsia="lt-LT"/>
              </w:rPr>
              <w:t xml:space="preserve">5.11. </w:t>
            </w:r>
            <w:r>
              <w:rPr>
                <w:iCs/>
                <w:szCs w:val="24"/>
              </w:rPr>
              <w:t xml:space="preserve">Kartu su PĮP pareiškėjas turi </w:t>
            </w:r>
            <w:r>
              <w:rPr>
                <w:szCs w:val="24"/>
                <w:lang w:eastAsia="lt-LT"/>
              </w:rPr>
              <w:t>Administruojančiajai institucijai</w:t>
            </w:r>
            <w:r>
              <w:rPr>
                <w:iCs/>
                <w:szCs w:val="24"/>
              </w:rPr>
              <w:t xml:space="preserve"> pateikti užpildytus Projektų taisyklėse nustatytus PĮP priedus ir šiuos dokumentus arba informaciją:</w:t>
            </w:r>
          </w:p>
          <w:p w14:paraId="6A9D08D1" w14:textId="77777777" w:rsidR="001F3D32" w:rsidRDefault="00BB2082">
            <w:pPr>
              <w:jc w:val="both"/>
              <w:rPr>
                <w:szCs w:val="24"/>
              </w:rPr>
            </w:pPr>
            <w:r>
              <w:rPr>
                <w:szCs w:val="24"/>
              </w:rPr>
              <w:t>5.11.1. investicijų projektą kartu su investicijų skaičiuokle;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w:t>
            </w:r>
            <w:r>
              <w:rPr>
                <w:szCs w:val="24"/>
                <w:lang w:eastAsia="lt-LT"/>
              </w:rPr>
              <w:t xml:space="preserve"> „Dėl Viešojo ir privataus sektorių partnerystės projektų rengimo ir įgyvendinimo metodinių rekomendacijų patvirtinimo“,</w:t>
            </w:r>
            <w:r>
              <w:rPr>
                <w:szCs w:val="24"/>
              </w:rPr>
              <w:t xml:space="preserve"> kuri skelbiama </w:t>
            </w:r>
            <w:r>
              <w:rPr>
                <w:szCs w:val="24"/>
                <w:lang w:eastAsia="lt-LT"/>
              </w:rPr>
              <w:t xml:space="preserve">interneto svetainėje www.cpva.lt </w:t>
            </w:r>
            <w:r>
              <w:rPr>
                <w:i/>
                <w:iCs/>
                <w:szCs w:val="24"/>
              </w:rPr>
              <w:t>(taikoma, kai investicijų suma, išskyrus (atėmus) jai tenkantį pirkimo ir (arba) importo pridėtinės vertės mokestį, viršija vieną milijoną eurų)</w:t>
            </w:r>
            <w:r>
              <w:rPr>
                <w:szCs w:val="24"/>
              </w:rPr>
              <w:t>;</w:t>
            </w:r>
          </w:p>
          <w:p w14:paraId="25682872" w14:textId="77777777" w:rsidR="001F3D32" w:rsidRDefault="00BB2082">
            <w:pPr>
              <w:jc w:val="both"/>
              <w:rPr>
                <w:szCs w:val="24"/>
                <w:lang w:eastAsia="lt-LT"/>
              </w:rPr>
            </w:pPr>
            <w:r>
              <w:rPr>
                <w:szCs w:val="24"/>
                <w:lang w:eastAsia="lt-LT"/>
              </w:rPr>
              <w:t xml:space="preserve">5.11.2. </w:t>
            </w:r>
            <w:r>
              <w:rPr>
                <w:szCs w:val="24"/>
              </w:rPr>
              <w:t>dokumentus ir (ar) informaciją, nurodytą</w:t>
            </w:r>
            <w:r>
              <w:rPr>
                <w:szCs w:val="24"/>
                <w:lang w:eastAsia="lt-LT"/>
              </w:rPr>
              <w:t xml:space="preserve"> P</w:t>
            </w:r>
            <w:r>
              <w:rPr>
                <w:rFonts w:eastAsia="Calibri"/>
                <w:szCs w:val="24"/>
                <w:lang w:eastAsia="lt-LT"/>
              </w:rPr>
              <w:t>rojekto</w:t>
            </w:r>
            <w:r>
              <w:rPr>
                <w:iCs/>
                <w:szCs w:val="24"/>
                <w:lang w:eastAsia="lt-LT"/>
              </w:rPr>
              <w:t xml:space="preserve"> </w:t>
            </w:r>
            <w:r>
              <w:rPr>
                <w:rFonts w:eastAsia="Calibri"/>
                <w:szCs w:val="24"/>
                <w:lang w:eastAsia="lt-LT"/>
              </w:rPr>
              <w:t>(įskaitant jungtinį projektą) atitikties reikšmingos žalos nedarymo horizontaliajam principui vertinimo reikalavimų apraše</w:t>
            </w:r>
            <w:r>
              <w:rPr>
                <w:szCs w:val="24"/>
                <w:lang w:eastAsia="lt-LT"/>
              </w:rPr>
              <w:t xml:space="preserve"> (Aprašo 1 priedas);</w:t>
            </w:r>
          </w:p>
          <w:p w14:paraId="27E4742F" w14:textId="77777777" w:rsidR="001F3D32" w:rsidRDefault="00BB2082">
            <w:pPr>
              <w:jc w:val="both"/>
              <w:rPr>
                <w:bCs/>
                <w:iCs/>
                <w:szCs w:val="24"/>
                <w:lang w:eastAsia="lt-LT"/>
              </w:rPr>
            </w:pPr>
            <w:r>
              <w:rPr>
                <w:szCs w:val="24"/>
                <w:lang w:eastAsia="lt-LT"/>
              </w:rPr>
              <w:t xml:space="preserve">5.11.3. </w:t>
            </w:r>
            <w:r>
              <w:rPr>
                <w:bCs/>
                <w:iCs/>
                <w:szCs w:val="24"/>
                <w:lang w:eastAsia="lt-LT"/>
              </w:rPr>
              <w:t xml:space="preserve">jungtinės veiklos (partnerystės) sutartį </w:t>
            </w:r>
            <w:r>
              <w:rPr>
                <w:bCs/>
                <w:i/>
                <w:szCs w:val="24"/>
                <w:lang w:eastAsia="lt-LT"/>
              </w:rPr>
              <w:t>(taikoma, kai projektas įgyvendinamas su partneriu (-</w:t>
            </w:r>
            <w:proofErr w:type="spellStart"/>
            <w:r>
              <w:rPr>
                <w:bCs/>
                <w:i/>
                <w:szCs w:val="24"/>
                <w:lang w:eastAsia="lt-LT"/>
              </w:rPr>
              <w:t>iais</w:t>
            </w:r>
            <w:proofErr w:type="spellEnd"/>
            <w:r>
              <w:rPr>
                <w:bCs/>
                <w:i/>
                <w:szCs w:val="24"/>
                <w:lang w:eastAsia="lt-LT"/>
              </w:rPr>
              <w:t>)</w:t>
            </w:r>
            <w:r>
              <w:rPr>
                <w:bCs/>
                <w:iCs/>
                <w:szCs w:val="24"/>
                <w:lang w:eastAsia="lt-LT"/>
              </w:rPr>
              <w:t>;</w:t>
            </w:r>
          </w:p>
          <w:p w14:paraId="0249EF97" w14:textId="77777777" w:rsidR="001F3D32" w:rsidRDefault="00BB2082">
            <w:pPr>
              <w:jc w:val="both"/>
              <w:rPr>
                <w:iCs/>
                <w:color w:val="000000"/>
                <w:szCs w:val="24"/>
              </w:rPr>
            </w:pPr>
            <w:r>
              <w:rPr>
                <w:szCs w:val="24"/>
                <w:lang w:eastAsia="lt-LT"/>
              </w:rPr>
              <w:t xml:space="preserve">5.11.4. </w:t>
            </w:r>
            <w:r>
              <w:rPr>
                <w:iCs/>
                <w:szCs w:val="24"/>
              </w:rPr>
              <w:t xml:space="preserve">dokumentus, pagrindžiančius projekto išlaidų pagrįstumą (statinio projektas su skaičiuojamosios kainos nustatymo dalimi; kai statinio projektas neprivalomas pagal Statybos įstatymą, pateikiama Pareiškėjo patvirtinta preliminari darbų sąmata; ir (arba) pasirašytos įvykdytų pirkimų sutartys); </w:t>
            </w:r>
            <w:r>
              <w:rPr>
                <w:color w:val="000000"/>
                <w:szCs w:val="24"/>
              </w:rPr>
              <w:t xml:space="preserve"> </w:t>
            </w:r>
          </w:p>
          <w:p w14:paraId="69793664" w14:textId="77777777" w:rsidR="001F3D32" w:rsidRDefault="00BB2082">
            <w:pPr>
              <w:jc w:val="both"/>
              <w:rPr>
                <w:color w:val="000000"/>
                <w:szCs w:val="24"/>
              </w:rPr>
            </w:pPr>
            <w:r>
              <w:rPr>
                <w:color w:val="000000"/>
                <w:szCs w:val="24"/>
                <w:lang w:eastAsia="lt-LT"/>
              </w:rPr>
              <w:t xml:space="preserve">5.11.5. </w:t>
            </w:r>
            <w:r>
              <w:rPr>
                <w:color w:val="000000"/>
                <w:szCs w:val="24"/>
              </w:rPr>
              <w:t>dokumentą, kuriuo patvirtinamas pareiškėjo ir (ar) partnerio (jei toks galimas pagal Aprašo reikalavimus) užtikrinamas nuosavų lėšų prisidėjimas; 5.11.6. dokumentus, pagrindžiančius pareiškėjo (partnerio, kai jis galimas pagal Aprašo reikalavimus) daiktines teises į statinį ir (ar) žemę, kuriuose bus vykdomos projekto veiklos, kopijas;</w:t>
            </w:r>
          </w:p>
          <w:p w14:paraId="6A287F8E" w14:textId="77777777" w:rsidR="001F3D32" w:rsidRDefault="00BB2082">
            <w:pPr>
              <w:jc w:val="both"/>
              <w:rPr>
                <w:szCs w:val="24"/>
              </w:rPr>
            </w:pPr>
            <w:r>
              <w:rPr>
                <w:color w:val="000000"/>
                <w:szCs w:val="24"/>
              </w:rPr>
              <w:t xml:space="preserve">5.11.7. </w:t>
            </w:r>
            <w:r>
              <w:rPr>
                <w:szCs w:val="24"/>
              </w:rPr>
              <w:t xml:space="preserve">paprastojo remonto darbų (aprašo) atveju turi būti parengti sąnaudų kiekių žiniaraščiai, numatytų darbų techninės specifikacijos ir atitinkami grafiniai dokumentai (planai, profiliai, schemos), leidžiantys identifikuoti </w:t>
            </w:r>
            <w:proofErr w:type="spellStart"/>
            <w:r>
              <w:rPr>
                <w:szCs w:val="24"/>
              </w:rPr>
              <w:t>bevariklio</w:t>
            </w:r>
            <w:proofErr w:type="spellEnd"/>
            <w:r>
              <w:rPr>
                <w:szCs w:val="24"/>
              </w:rPr>
              <w:t xml:space="preserve"> transporto infrastruktūrai suprojektuotus sprendinius;</w:t>
            </w:r>
          </w:p>
          <w:p w14:paraId="2EB26AA4" w14:textId="77777777" w:rsidR="001F3D32" w:rsidRDefault="00BB2082">
            <w:pPr>
              <w:jc w:val="both"/>
              <w:rPr>
                <w:szCs w:val="24"/>
              </w:rPr>
            </w:pPr>
            <w:r>
              <w:rPr>
                <w:szCs w:val="24"/>
              </w:rPr>
              <w:t xml:space="preserve">5.11.8. parengtus ir patvirtintus projekto </w:t>
            </w:r>
            <w:r>
              <w:rPr>
                <w:i/>
                <w:iCs/>
                <w:szCs w:val="24"/>
              </w:rPr>
              <w:t>(kai teikiamame PĮP bus tvarkomas vienas infrastruktūros objektas</w:t>
            </w:r>
            <w:r>
              <w:rPr>
                <w:szCs w:val="24"/>
              </w:rPr>
              <w:t>) ar visų objektų (</w:t>
            </w:r>
            <w:r>
              <w:rPr>
                <w:i/>
                <w:iCs/>
                <w:szCs w:val="24"/>
              </w:rPr>
              <w:t>kai teikiamame PĮP numatyti keli infrastruktūros objektai</w:t>
            </w:r>
            <w:r>
              <w:rPr>
                <w:szCs w:val="24"/>
              </w:rPr>
              <w:t>) statinio projektus ir  gautus statybą leidžiančius dokumentus, jei tokie yra privalomi pagal Statybos įstatymą;</w:t>
            </w:r>
          </w:p>
          <w:p w14:paraId="0DB1D951" w14:textId="77777777" w:rsidR="001F3D32" w:rsidRDefault="00BB2082">
            <w:pPr>
              <w:jc w:val="both"/>
              <w:rPr>
                <w:szCs w:val="24"/>
              </w:rPr>
            </w:pPr>
            <w:r>
              <w:t>5.12.</w:t>
            </w:r>
            <w:r>
              <w:rPr>
                <w:szCs w:val="24"/>
              </w:rPr>
              <w:t xml:space="preserve"> Projektu turi būti plėtojama dviračiams ir pėstiesiems skirta infrastruktūra, kuri apima šalia valstybinės reikšmės kelių naujai tiesiamus, rekonstruojamus ar remontuojamus dviračių ir pėsčiųjų takus, atskirtus nuo transporto priemonių eismui skirtų kelių ar kitų to paties kelio dalių inžinerinėmis priemonėmis (kelkraščiais, užtvaromis).: </w:t>
            </w:r>
          </w:p>
          <w:p w14:paraId="7AEAB3B1" w14:textId="77777777" w:rsidR="001F3D32" w:rsidRDefault="00BB2082">
            <w:pPr>
              <w:jc w:val="both"/>
              <w:rPr>
                <w:szCs w:val="24"/>
              </w:rPr>
            </w:pPr>
            <w:r>
              <w:rPr>
                <w:szCs w:val="24"/>
              </w:rPr>
              <w:t>5.12.1. dviračių takai;</w:t>
            </w:r>
          </w:p>
          <w:p w14:paraId="18FC8125" w14:textId="77777777" w:rsidR="001F3D32" w:rsidRDefault="00BB2082">
            <w:pPr>
              <w:jc w:val="both"/>
            </w:pPr>
            <w:r>
              <w:lastRenderedPageBreak/>
              <w:t>5.12.2. dviračių ir pėsčiųjų takai, kai šalia dviračių tako įrengiamas pėsčiųjų takas ar šaligatvis (pėsčiųjų ir dviračių takas su atskiromis pėsčiųjų ir dviračių erdvėmis, kai dviračių ir pėsčiųjų eismas tarpusavyje atskirtas bortu, gerai juntama tekstūros, želdinių juosta, skirtingomis dangomis ir (ar) dangos spalvomis);</w:t>
            </w:r>
          </w:p>
          <w:p w14:paraId="29F31507" w14:textId="77777777" w:rsidR="001F3D32" w:rsidRDefault="00BB2082">
            <w:pPr>
              <w:jc w:val="both"/>
              <w:rPr>
                <w:szCs w:val="24"/>
              </w:rPr>
            </w:pPr>
            <w:r>
              <w:rPr>
                <w:szCs w:val="24"/>
              </w:rPr>
              <w:t>5.12.3. dviračių gatvės;</w:t>
            </w:r>
          </w:p>
          <w:p w14:paraId="6D7A63F0" w14:textId="77777777" w:rsidR="001F3D32" w:rsidRDefault="00BB2082">
            <w:pPr>
              <w:jc w:val="both"/>
            </w:pPr>
            <w:r>
              <w:t>5.12.4. dviračių eismo juostos gatvėse (tik išskirtiniais atvejais, kai dviračių eismo juostų įrengimas yra galimas pagal gatvių kategorijos tipą, kai dviračių eismo juostos įrengiamos trumpuose dviračių tako ruožuose dėl techninių aplinkybių (pvz., takui priartėjant prie važiuojamosios dalies sankryžos zonoje), kai išsprendžiami visi eismo saugos ir patogumo klausimai ir parenkamos atitinkamos inžinerinės eismo reguliavimo priemonės);</w:t>
            </w:r>
          </w:p>
          <w:p w14:paraId="0B58E973" w14:textId="77777777" w:rsidR="001F3D32" w:rsidRDefault="00BB2082">
            <w:pPr>
              <w:jc w:val="both"/>
              <w:rPr>
                <w:szCs w:val="24"/>
              </w:rPr>
            </w:pPr>
            <w:r>
              <w:rPr>
                <w:szCs w:val="24"/>
              </w:rPr>
              <w:t xml:space="preserve">5.12.5. </w:t>
            </w:r>
            <w:r w:rsidR="00D32BF2">
              <w:rPr>
                <w:color w:val="000000"/>
              </w:rPr>
              <w:t>bendri pėsčiųjų ir dviračių takai</w:t>
            </w:r>
            <w:r>
              <w:rPr>
                <w:szCs w:val="24"/>
              </w:rPr>
              <w:t>.</w:t>
            </w:r>
          </w:p>
          <w:p w14:paraId="6D008C9C" w14:textId="77777777" w:rsidR="001F3D32" w:rsidRDefault="00BB2082">
            <w:pPr>
              <w:jc w:val="both"/>
              <w:rPr>
                <w:color w:val="000000"/>
                <w:szCs w:val="24"/>
              </w:rPr>
            </w:pPr>
            <w:r>
              <w:rPr>
                <w:color w:val="000000"/>
                <w:szCs w:val="24"/>
              </w:rPr>
              <w:t>5.13. Finansavimas skiriamas:</w:t>
            </w:r>
          </w:p>
          <w:p w14:paraId="491F207A" w14:textId="77777777" w:rsidR="001F3D32" w:rsidRDefault="00BB2082">
            <w:pPr>
              <w:jc w:val="both"/>
              <w:rPr>
                <w:color w:val="000000"/>
                <w:szCs w:val="24"/>
              </w:rPr>
            </w:pPr>
            <w:r>
              <w:rPr>
                <w:color w:val="000000"/>
                <w:szCs w:val="24"/>
              </w:rPr>
              <w:t>5.13.1. naujai dviračių eismo infrastruktūrai įrengti (dviračių takai, dviračių takai, kai šalia įrengiamas pėsčiųjų takas ar šaligatvis, išskirtiniais atvejais – bendri pėsčiųjų ir dviračių takai);</w:t>
            </w:r>
          </w:p>
          <w:p w14:paraId="4A2DC010" w14:textId="77777777" w:rsidR="001F3D32" w:rsidRDefault="00BB2082">
            <w:pPr>
              <w:jc w:val="both"/>
              <w:rPr>
                <w:color w:val="000000"/>
                <w:szCs w:val="24"/>
              </w:rPr>
            </w:pPr>
            <w:r>
              <w:rPr>
                <w:color w:val="000000"/>
                <w:szCs w:val="24"/>
              </w:rPr>
              <w:t>5.13.2. esamai, techninių bei kokybinių reikalavimų neatitinkančiai dviračių, pėsčiųjų ir dviračių eismo infrastruktūrai rekonstruoti ar jos kapitaliniam ar paprastajam remontui;</w:t>
            </w:r>
          </w:p>
          <w:p w14:paraId="582DF430" w14:textId="77777777" w:rsidR="001F3D32" w:rsidRDefault="00BB2082">
            <w:pPr>
              <w:jc w:val="both"/>
              <w:rPr>
                <w:color w:val="000000"/>
                <w:szCs w:val="24"/>
              </w:rPr>
            </w:pPr>
            <w:r>
              <w:rPr>
                <w:color w:val="000000"/>
                <w:szCs w:val="24"/>
              </w:rPr>
              <w:t>5.13.3. esamai pėsčiųjų infrastruktūrai rekonstruoti ar jos kapitaliniam bei paprastajam remontui, kai infrastruktūra arba dalis šios infrastruktūros pritaikoma dviračių eismui.;</w:t>
            </w:r>
          </w:p>
          <w:p w14:paraId="75FDAF20" w14:textId="77777777" w:rsidR="001F3D32" w:rsidRDefault="00BB2082">
            <w:pPr>
              <w:jc w:val="both"/>
              <w:rPr>
                <w:color w:val="000000"/>
                <w:szCs w:val="24"/>
              </w:rPr>
            </w:pPr>
            <w:r>
              <w:rPr>
                <w:color w:val="000000"/>
                <w:szCs w:val="24"/>
              </w:rPr>
              <w:t>5.13.4. esamų gatvių važiuojamosioms dalims rekonstruoti ir jų kapitaliniam ar paprastajam remontui, kai lėšos naudojamos techniniams sprendiniams, skirtiems gatvės erdvės daliai pritaikyti dviračių transporto eismui;</w:t>
            </w:r>
          </w:p>
          <w:p w14:paraId="203448BA" w14:textId="77777777" w:rsidR="001F3D32" w:rsidRDefault="00BB2082">
            <w:pPr>
              <w:jc w:val="both"/>
              <w:rPr>
                <w:color w:val="000000"/>
                <w:szCs w:val="24"/>
              </w:rPr>
            </w:pPr>
            <w:r>
              <w:rPr>
                <w:color w:val="000000"/>
                <w:szCs w:val="24"/>
              </w:rPr>
              <w:t>5.13.5. dviračių gatvei įrengti – esamų gatvių važiuojamajai daliai, šalia važiuojamosios dalies esantiems šaligatviams, pėsčiųjų takams pertvarkyti ir (ar) būtinoms inžinerinėms, eismo organizavimo ir kitoms priemonėms diegti jose, kuriomis gatvės erdvė pritaikoma dviračių eismui (finansavimas negali būti skiriamas gatvių (kelių) sankasos, dangos konstrukcijos sluoksnių įrengimui). Statybos rūšis – rekonstrukcija, kapitalinis ar paprastasis remontas.</w:t>
            </w:r>
          </w:p>
          <w:p w14:paraId="10D6C2D8" w14:textId="77777777" w:rsidR="001F3D32" w:rsidRDefault="00BB2082">
            <w:pPr>
              <w:jc w:val="both"/>
              <w:rPr>
                <w:color w:val="000000"/>
                <w:szCs w:val="24"/>
              </w:rPr>
            </w:pPr>
            <w:r>
              <w:rPr>
                <w:color w:val="000000"/>
                <w:szCs w:val="24"/>
              </w:rPr>
              <w:t xml:space="preserve">5.13.6. dviračių ir pėsčiųjų infrastruktūrai įrengti (įskaitant tiltus, skirtus dviračiams ir pėstiesiems, kai šie tiltai yra neatskiriama įrengto ar įrengiamo dviračių (ir pėsčiųjų) infrastruktūros tinklo dalis, be kurio esamas tinklas netenkintų vientisumo ir junglumo reikalavimų), jos priklausiniai (pvz., saugaus eismo užtikrinimo inžineriniai įrenginiai, saugaus eismo organizavimo bei informavimo įrenginiai, </w:t>
            </w:r>
            <w:proofErr w:type="spellStart"/>
            <w:r>
              <w:rPr>
                <w:color w:val="000000"/>
                <w:szCs w:val="24"/>
              </w:rPr>
              <w:t>bevariklio</w:t>
            </w:r>
            <w:proofErr w:type="spellEnd"/>
            <w:r>
              <w:rPr>
                <w:color w:val="000000"/>
                <w:szCs w:val="24"/>
              </w:rPr>
              <w:t xml:space="preserve"> transporto priemonių stovėjimo, saugojimo aikštelės ir atitinkama įranga jose).</w:t>
            </w:r>
          </w:p>
          <w:p w14:paraId="19FD7F95" w14:textId="77777777" w:rsidR="001F3D32" w:rsidRDefault="00BB2082">
            <w:pPr>
              <w:tabs>
                <w:tab w:val="left" w:pos="426"/>
                <w:tab w:val="left" w:pos="993"/>
              </w:tabs>
              <w:jc w:val="both"/>
            </w:pPr>
            <w:r>
              <w:t xml:space="preserve">5.14. Projektui įgyvendinti skirtos lėšos gali būti naudojamos vykdant bendrus kelių ir (ar) gatvių tiesimo ir (ar) rekonstravimo, ir (ar) kapitalinio remonto projektus, ir (ar) paprastojo remonto projektus (aprašus), kai statybos darbai vykdomi pagal išskirstytas statybos darbų sąmatas, leidžiančias identifikuoti, kad </w:t>
            </w:r>
            <w:proofErr w:type="spellStart"/>
            <w:r>
              <w:t>bevariklio</w:t>
            </w:r>
            <w:proofErr w:type="spellEnd"/>
            <w:r>
              <w:t xml:space="preserve"> transporto infrastruktūrai įrengti skirtos lėšos bus naudojamos tik šiai konkrečiai infrastruktūrai įrengti.</w:t>
            </w:r>
          </w:p>
          <w:p w14:paraId="2D1449ED" w14:textId="77777777" w:rsidR="001F3D32" w:rsidRDefault="00BB2082">
            <w:pPr>
              <w:jc w:val="both"/>
              <w:rPr>
                <w:iCs/>
                <w:szCs w:val="24"/>
                <w:lang w:eastAsia="lt-LT"/>
              </w:rPr>
            </w:pPr>
            <w:r>
              <w:rPr>
                <w:iCs/>
                <w:szCs w:val="24"/>
                <w:lang w:eastAsia="lt-LT"/>
              </w:rPr>
              <w:t>5.15. Pagal Aprašą finansuojamai veiklai įgyvendinti skirtos lėšos gali būti naudojamos vykdant bendrus kelių tiesimo ir (ar) rekonstravimo, ir (ar) kapitalinio remonto projektus, kai statybos darbai vykdomi pagal išskirstytas statybos darbų sąmatas, leidžiančias identifikuoti, kad dviračių ir pėsčiųjų infrastruktūrai įrengti ar rekonstruoti skirtos lėšos bus naudojamos tik šiai konkrečiai infrastruktūrai įrengti ar rekonstruoti ir būtų galima pagrįsti stebėsenos rodiklio „</w:t>
            </w:r>
            <w:r>
              <w:rPr>
                <w:szCs w:val="24"/>
              </w:rPr>
              <w:t>Naujai nutiestų ar atnaujintų dviračių arba bendrų dviračių ir pėsčiųjų takų</w:t>
            </w:r>
            <w:r>
              <w:rPr>
                <w:iCs/>
                <w:szCs w:val="24"/>
                <w:lang w:eastAsia="lt-LT" w:bidi="lt-LT"/>
              </w:rPr>
              <w:t xml:space="preserve">“ </w:t>
            </w:r>
            <w:r>
              <w:rPr>
                <w:iCs/>
                <w:szCs w:val="24"/>
                <w:lang w:eastAsia="lt-LT"/>
              </w:rPr>
              <w:t>pasiekimą kilometrais (pvz., kadastrinių matavimų byloje išskiriant naujai įrengtų ar rekonstruotų dviračių takų matavimo vienetą kilometrais).</w:t>
            </w:r>
          </w:p>
          <w:p w14:paraId="7E64D7EB" w14:textId="77777777" w:rsidR="001F3D32" w:rsidRDefault="00BB2082">
            <w:pPr>
              <w:jc w:val="both"/>
              <w:rPr>
                <w:szCs w:val="24"/>
              </w:rPr>
            </w:pPr>
            <w:r>
              <w:rPr>
                <w:szCs w:val="24"/>
              </w:rPr>
              <w:t>5.16. Reikalavimai pareiškėjams:</w:t>
            </w:r>
          </w:p>
          <w:p w14:paraId="7DBC55DE" w14:textId="77777777" w:rsidR="001F3D32" w:rsidRDefault="00BB2082">
            <w:pPr>
              <w:jc w:val="both"/>
              <w:rPr>
                <w:color w:val="000000"/>
                <w:szCs w:val="24"/>
                <w:lang w:eastAsia="lt-LT"/>
              </w:rPr>
            </w:pPr>
            <w:r>
              <w:rPr>
                <w:color w:val="000000"/>
                <w:szCs w:val="24"/>
                <w:lang w:eastAsia="lt-LT"/>
              </w:rPr>
              <w:lastRenderedPageBreak/>
              <w:t xml:space="preserve">5.16.1. projektas įgyvendinamas pagal projekto sutartyje, Apraše ir </w:t>
            </w:r>
            <w:r>
              <w:rPr>
                <w:szCs w:val="24"/>
                <w:lang w:eastAsia="lt-LT"/>
              </w:rPr>
              <w:t xml:space="preserve">Projektų taisyklėse </w:t>
            </w:r>
            <w:r>
              <w:rPr>
                <w:color w:val="000000"/>
                <w:szCs w:val="24"/>
                <w:lang w:eastAsia="lt-LT"/>
              </w:rPr>
              <w:t>nustatytus reikalavimus;</w:t>
            </w:r>
          </w:p>
          <w:p w14:paraId="3D371D76" w14:textId="77777777" w:rsidR="001F3D32" w:rsidRDefault="00BB2082">
            <w:pPr>
              <w:jc w:val="both"/>
              <w:rPr>
                <w:szCs w:val="24"/>
                <w:lang w:eastAsia="lt-LT"/>
              </w:rPr>
            </w:pPr>
            <w:r>
              <w:rPr>
                <w:szCs w:val="24"/>
                <w:lang w:eastAsia="lt-LT"/>
              </w:rPr>
              <w:t>5.16.2. pareiškėjas turi įgyvendinti privalomus matomumo ir informavimo reikalavimus, numatytus Projektų taisyklių VIII skyriaus pirmajame skirsnyje;</w:t>
            </w:r>
          </w:p>
          <w:p w14:paraId="0671FC6E" w14:textId="77777777" w:rsidR="001F3D32" w:rsidRDefault="00BB2082">
            <w:pPr>
              <w:jc w:val="both"/>
              <w:rPr>
                <w:color w:val="000000"/>
                <w:szCs w:val="24"/>
                <w:lang w:eastAsia="lt-LT"/>
              </w:rPr>
            </w:pPr>
            <w:r>
              <w:rPr>
                <w:szCs w:val="24"/>
                <w:lang w:eastAsia="lt-LT"/>
              </w:rPr>
              <w:t>5.16.3. pareiškėjas</w:t>
            </w:r>
            <w:r>
              <w:rPr>
                <w:color w:val="EE0000"/>
                <w:szCs w:val="24"/>
                <w:lang w:eastAsia="lt-LT"/>
              </w:rPr>
              <w:t xml:space="preserve"> </w:t>
            </w:r>
            <w:r>
              <w:rPr>
                <w:color w:val="000000"/>
                <w:szCs w:val="24"/>
                <w:lang w:eastAsia="lt-LT"/>
              </w:rPr>
              <w:t>privalo užtikrinti, kad visi su projekto įgyvendinimu susiję viešieji pirkimai būtų vykdomi vadovaujantis p</w:t>
            </w:r>
            <w:r>
              <w:rPr>
                <w:szCs w:val="24"/>
                <w:lang w:eastAsia="lt-LT"/>
              </w:rPr>
              <w:t>irkimų vykdymo ir vertinimo tvarka, nustatyta Projektų taisyklių 7 priede</w:t>
            </w:r>
            <w:r>
              <w:rPr>
                <w:color w:val="000000"/>
                <w:szCs w:val="24"/>
                <w:lang w:eastAsia="lt-LT"/>
              </w:rPr>
              <w:t>; projekto sutartys turi būti įgyvendinamos vadovaujantis Lietuvos Respublikos teisės aktais, Statybos įstatymu, statybos techninių reglamentų reikalavimais ir kitais Lietuvos Respublikos teisės aktais.</w:t>
            </w:r>
          </w:p>
          <w:p w14:paraId="5DEDC327" w14:textId="77777777" w:rsidR="001F3D32" w:rsidRDefault="00BB2082">
            <w:pPr>
              <w:jc w:val="both"/>
              <w:rPr>
                <w:szCs w:val="24"/>
              </w:rPr>
            </w:pPr>
            <w:r>
              <w:rPr>
                <w:szCs w:val="24"/>
              </w:rPr>
              <w:t>5.17. Projekto veiklos turi būti užbaigtos iki 2026 m</w:t>
            </w:r>
            <w:r>
              <w:rPr>
                <w:color w:val="000000"/>
                <w:szCs w:val="24"/>
              </w:rPr>
              <w:t xml:space="preserve">. </w:t>
            </w:r>
            <w:r>
              <w:rPr>
                <w:szCs w:val="24"/>
              </w:rPr>
              <w:t>birželio 1 d.</w:t>
            </w:r>
          </w:p>
        </w:tc>
      </w:tr>
      <w:tr w:rsidR="001F3D32" w14:paraId="7745A9AB" w14:textId="77777777">
        <w:trPr>
          <w:trHeight w:val="236"/>
        </w:trPr>
        <w:tc>
          <w:tcPr>
            <w:tcW w:w="14879" w:type="dxa"/>
          </w:tcPr>
          <w:p w14:paraId="7FC3028C" w14:textId="77777777" w:rsidR="001F3D32" w:rsidRDefault="00BB2082">
            <w:pPr>
              <w:jc w:val="both"/>
              <w:rPr>
                <w:b/>
                <w:bCs/>
                <w:szCs w:val="24"/>
              </w:rPr>
            </w:pPr>
            <w:r>
              <w:rPr>
                <w:b/>
                <w:bCs/>
                <w:szCs w:val="24"/>
              </w:rPr>
              <w:lastRenderedPageBreak/>
              <w:t>6. Reikalavimai jungtinio projekto projektams ir jungtinio projekto projektų pareiškėjams</w:t>
            </w:r>
          </w:p>
        </w:tc>
      </w:tr>
      <w:tr w:rsidR="001F3D32" w14:paraId="5F608700" w14:textId="77777777">
        <w:trPr>
          <w:trHeight w:val="313"/>
        </w:trPr>
        <w:tc>
          <w:tcPr>
            <w:tcW w:w="14879" w:type="dxa"/>
          </w:tcPr>
          <w:p w14:paraId="468B0C37" w14:textId="77777777" w:rsidR="001F3D32" w:rsidRDefault="00BB2082">
            <w:pPr>
              <w:jc w:val="both"/>
              <w:rPr>
                <w:b/>
                <w:bCs/>
                <w:szCs w:val="24"/>
              </w:rPr>
            </w:pPr>
            <w:r>
              <w:rPr>
                <w:b/>
                <w:bCs/>
                <w:szCs w:val="24"/>
              </w:rPr>
              <w:t>-</w:t>
            </w:r>
          </w:p>
        </w:tc>
      </w:tr>
      <w:tr w:rsidR="001F3D32" w14:paraId="38296AC4" w14:textId="77777777">
        <w:trPr>
          <w:trHeight w:val="285"/>
        </w:trPr>
        <w:tc>
          <w:tcPr>
            <w:tcW w:w="14879" w:type="dxa"/>
          </w:tcPr>
          <w:p w14:paraId="1527EFDB" w14:textId="77777777" w:rsidR="001F3D32" w:rsidRDefault="00BB2082">
            <w:pPr>
              <w:rPr>
                <w:szCs w:val="24"/>
              </w:rPr>
            </w:pPr>
            <w:r>
              <w:rPr>
                <w:szCs w:val="24"/>
              </w:rPr>
              <w:t>7</w:t>
            </w:r>
            <w:r>
              <w:rPr>
                <w:b/>
                <w:bCs/>
                <w:szCs w:val="24"/>
              </w:rPr>
              <w:t>. Projekto tikslinės grupės</w:t>
            </w:r>
          </w:p>
        </w:tc>
      </w:tr>
      <w:tr w:rsidR="001F3D32" w14:paraId="6FB44E77" w14:textId="77777777">
        <w:trPr>
          <w:trHeight w:val="285"/>
        </w:trPr>
        <w:tc>
          <w:tcPr>
            <w:tcW w:w="14879" w:type="dxa"/>
          </w:tcPr>
          <w:p w14:paraId="27F1C29D" w14:textId="77777777" w:rsidR="001F3D32" w:rsidRDefault="00BB2082">
            <w:pPr>
              <w:tabs>
                <w:tab w:val="left" w:pos="9762"/>
              </w:tabs>
              <w:jc w:val="both"/>
              <w:rPr>
                <w:szCs w:val="24"/>
              </w:rPr>
            </w:pPr>
            <w:r>
              <w:rPr>
                <w:szCs w:val="24"/>
              </w:rPr>
              <w:t>Tikslinė grupė – projekto lėšomis sukurtos ar atnaujintos dviračių ir pėsčiųjų infrastruktūros naudotojai</w:t>
            </w:r>
            <w:r>
              <w:rPr>
                <w:b/>
                <w:iCs/>
                <w:szCs w:val="24"/>
              </w:rPr>
              <w:t xml:space="preserve"> – </w:t>
            </w:r>
            <w:r>
              <w:rPr>
                <w:szCs w:val="24"/>
              </w:rPr>
              <w:t>vietos gyventojai ir atvykstantys svečiai.</w:t>
            </w:r>
          </w:p>
          <w:p w14:paraId="00C3B99C" w14:textId="77777777" w:rsidR="001F3D32" w:rsidRDefault="001F3D32">
            <w:pPr>
              <w:tabs>
                <w:tab w:val="left" w:pos="9762"/>
              </w:tabs>
              <w:jc w:val="both"/>
              <w:rPr>
                <w:szCs w:val="24"/>
              </w:rPr>
            </w:pPr>
          </w:p>
        </w:tc>
      </w:tr>
      <w:tr w:rsidR="001F3D32" w14:paraId="0B447390" w14:textId="77777777">
        <w:trPr>
          <w:trHeight w:val="285"/>
        </w:trPr>
        <w:tc>
          <w:tcPr>
            <w:tcW w:w="14879" w:type="dxa"/>
          </w:tcPr>
          <w:p w14:paraId="73331F4B" w14:textId="77777777" w:rsidR="001F3D32" w:rsidRDefault="00BB2082">
            <w:pPr>
              <w:rPr>
                <w:b/>
                <w:bCs/>
                <w:szCs w:val="24"/>
              </w:rPr>
            </w:pPr>
            <w:r>
              <w:rPr>
                <w:b/>
                <w:bCs/>
                <w:szCs w:val="24"/>
              </w:rPr>
              <w:t>8. Horizontaliųjų principų (toliau – HP) reikalavimai</w:t>
            </w:r>
          </w:p>
        </w:tc>
      </w:tr>
      <w:tr w:rsidR="001F3D32" w14:paraId="7D3136ED" w14:textId="77777777">
        <w:tc>
          <w:tcPr>
            <w:tcW w:w="14879" w:type="dxa"/>
          </w:tcPr>
          <w:p w14:paraId="5C1223C4" w14:textId="77777777" w:rsidR="001F3D32" w:rsidRDefault="00BB2082">
            <w:pPr>
              <w:jc w:val="both"/>
              <w:rPr>
                <w:szCs w:val="24"/>
              </w:rPr>
            </w:pPr>
            <w:r>
              <w:rPr>
                <w:szCs w:val="24"/>
              </w:rPr>
              <w:t>8.1. 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ir pan.).</w:t>
            </w:r>
          </w:p>
          <w:p w14:paraId="3EF308D8" w14:textId="77777777" w:rsidR="001F3D32" w:rsidRDefault="00BB2082">
            <w:pPr>
              <w:jc w:val="both"/>
              <w:rPr>
                <w:szCs w:val="24"/>
              </w:rPr>
            </w:pPr>
            <w:r>
              <w:rPr>
                <w:szCs w:val="24"/>
              </w:rPr>
              <w:t xml:space="preserve">8.2. 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w:t>
            </w:r>
            <w:hyperlink r:id="rId12" w:tgtFrame="_blank" w:history="1">
              <w:r>
                <w:rPr>
                  <w:color w:val="0563C1" w:themeColor="hyperlink"/>
                  <w:szCs w:val="24"/>
                  <w:u w:val="single"/>
                </w:rPr>
                <w:t>(ES) 2020/852</w:t>
              </w:r>
            </w:hyperlink>
            <w:r>
              <w:rPr>
                <w:szCs w:val="24"/>
              </w:rPr>
              <w:t xml:space="preserve"> dėl sistemos tvariam investavimui palengvinti sukūrimo, kuriuo iš dalies keičiamas Reglamentas </w:t>
            </w:r>
            <w:hyperlink r:id="rId13" w:tgtFrame="_blank" w:history="1">
              <w:r>
                <w:rPr>
                  <w:color w:val="0563C1" w:themeColor="hyperlink"/>
                  <w:szCs w:val="24"/>
                  <w:u w:val="single"/>
                </w:rPr>
                <w:t>(ES) 2019/2088</w:t>
              </w:r>
            </w:hyperlink>
            <w:r>
              <w:rPr>
                <w:szCs w:val="24"/>
              </w:rPr>
              <w:t xml:space="preserve">, 17 straipsnyje. </w:t>
            </w:r>
          </w:p>
          <w:p w14:paraId="0CA71CDD" w14:textId="77777777" w:rsidR="001F3D32" w:rsidRDefault="00BB2082">
            <w:pPr>
              <w:jc w:val="both"/>
              <w:rPr>
                <w:szCs w:val="24"/>
              </w:rPr>
            </w:pPr>
            <w:r>
              <w:rPr>
                <w:szCs w:val="24"/>
              </w:rPr>
              <w:t>8.3. 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reikalavimų,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020B0E53" w14:textId="77777777" w:rsidR="001F3D32" w:rsidRDefault="00BB2082">
            <w:pPr>
              <w:jc w:val="both"/>
              <w:rPr>
                <w:szCs w:val="24"/>
              </w:rPr>
            </w:pPr>
            <w:r>
              <w:rPr>
                <w:szCs w:val="24"/>
              </w:rPr>
              <w:t>8.4. Projektų atitiktį reikšmingos žalos nedarymo horizontaliajam principui įvertina Administruojančioji institucija, vertindama Projekto (įskaitant jungtinį projektą) atitikties reikšmingos žalos nedarymo horizontaliajam principui vertinimo reikalavimų apraše (Aprašo priede) nurodytus pagrindimo dokumentus.</w:t>
            </w:r>
          </w:p>
        </w:tc>
      </w:tr>
      <w:tr w:rsidR="001F3D32" w14:paraId="1B3EDC4D" w14:textId="77777777">
        <w:tc>
          <w:tcPr>
            <w:tcW w:w="14879" w:type="dxa"/>
          </w:tcPr>
          <w:p w14:paraId="64152BD1" w14:textId="77777777" w:rsidR="001F3D32" w:rsidRDefault="00BB2082">
            <w:pPr>
              <w:spacing w:line="259" w:lineRule="auto"/>
              <w:jc w:val="both"/>
              <w:rPr>
                <w:b/>
                <w:iCs/>
                <w:szCs w:val="24"/>
              </w:rPr>
            </w:pPr>
            <w:r>
              <w:rPr>
                <w:b/>
                <w:iCs/>
                <w:szCs w:val="24"/>
              </w:rPr>
              <w:t>9. Europos Sąjungos pagrindinių teisių chartijos (toliau – Chartija) reikalavimai</w:t>
            </w:r>
          </w:p>
        </w:tc>
      </w:tr>
      <w:tr w:rsidR="001F3D32" w14:paraId="401DA0E0" w14:textId="77777777">
        <w:tc>
          <w:tcPr>
            <w:tcW w:w="14879" w:type="dxa"/>
          </w:tcPr>
          <w:p w14:paraId="5596349D" w14:textId="77777777" w:rsidR="001F3D32" w:rsidRDefault="00BB2082">
            <w:pPr>
              <w:widowControl w:val="0"/>
              <w:jc w:val="both"/>
              <w:rPr>
                <w:iCs/>
                <w:szCs w:val="24"/>
                <w:lang w:eastAsia="lt-LT"/>
              </w:rPr>
            </w:pPr>
            <w:r>
              <w:rPr>
                <w:iCs/>
                <w:szCs w:val="24"/>
                <w:lang w:eastAsia="lt-LT"/>
              </w:rPr>
              <w:lastRenderedPageBreak/>
              <w:t>Pagal Aprašą finansuojama veikla nepažeidžia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veiksmingos teisinės gynybos, teisingumo; solidarumo ir darbuotojų teisių; aplinkos apsaugos.</w:t>
            </w:r>
          </w:p>
          <w:p w14:paraId="7E6D3F2D" w14:textId="77777777" w:rsidR="001F3D32" w:rsidRDefault="00BB2082">
            <w:pPr>
              <w:jc w:val="both"/>
              <w:rPr>
                <w:iCs/>
                <w:szCs w:val="24"/>
                <w:lang w:eastAsia="lt-LT"/>
              </w:rPr>
            </w:pPr>
            <w:r>
              <w:rPr>
                <w:iCs/>
                <w:szCs w:val="24"/>
                <w:lang w:eastAsia="lt-LT"/>
              </w:rPr>
              <w:t>Įgyvendinant projekto veiklas negali būti pažeista Chartijoje įtvirtinta teisė į nuosavybę (žemę, kilnojamąjį turtą, materialųjį ir nematerialųjį turtą).</w:t>
            </w:r>
          </w:p>
        </w:tc>
      </w:tr>
      <w:tr w:rsidR="001F3D32" w14:paraId="761C844E" w14:textId="77777777">
        <w:tc>
          <w:tcPr>
            <w:tcW w:w="14879" w:type="dxa"/>
          </w:tcPr>
          <w:p w14:paraId="4BB19135" w14:textId="77777777" w:rsidR="001F3D32" w:rsidRDefault="00BB2082">
            <w:pPr>
              <w:rPr>
                <w:b/>
                <w:szCs w:val="24"/>
              </w:rPr>
            </w:pPr>
            <w:r>
              <w:rPr>
                <w:b/>
                <w:szCs w:val="24"/>
              </w:rPr>
              <w:t>10. Apskritis, kurioje gali būti įgyvendinami projektai</w:t>
            </w:r>
          </w:p>
        </w:tc>
      </w:tr>
      <w:tr w:rsidR="001F3D32" w14:paraId="5F95FBF8" w14:textId="77777777">
        <w:tc>
          <w:tcPr>
            <w:tcW w:w="14879" w:type="dxa"/>
          </w:tcPr>
          <w:p w14:paraId="3F0C8D50" w14:textId="77777777" w:rsidR="001F3D32" w:rsidRDefault="00BB2082">
            <w:pPr>
              <w:jc w:val="both"/>
              <w:rPr>
                <w:i/>
                <w:sz w:val="22"/>
                <w:szCs w:val="22"/>
              </w:rPr>
            </w:pPr>
            <w:r>
              <w:rPr>
                <w:i/>
                <w:iCs/>
                <w:sz w:val="22"/>
                <w:szCs w:val="22"/>
              </w:rPr>
              <w:t>–</w:t>
            </w:r>
          </w:p>
        </w:tc>
      </w:tr>
      <w:tr w:rsidR="001F3D32" w14:paraId="77938D53" w14:textId="77777777">
        <w:tc>
          <w:tcPr>
            <w:tcW w:w="14879" w:type="dxa"/>
          </w:tcPr>
          <w:p w14:paraId="17F044FE" w14:textId="77777777" w:rsidR="001F3D32" w:rsidRDefault="00BB2082">
            <w:pPr>
              <w:jc w:val="both"/>
              <w:rPr>
                <w:b/>
                <w:szCs w:val="24"/>
              </w:rPr>
            </w:pPr>
            <w:r>
              <w:rPr>
                <w:b/>
                <w:szCs w:val="24"/>
              </w:rPr>
              <w:t>11. Reikalavimai valstybės pagalbai (kurie nėra nurodyti kituose Aprašo punktuose)</w:t>
            </w:r>
          </w:p>
        </w:tc>
      </w:tr>
      <w:tr w:rsidR="001F3D32" w14:paraId="3F7D7349" w14:textId="77777777">
        <w:tc>
          <w:tcPr>
            <w:tcW w:w="14879" w:type="dxa"/>
          </w:tcPr>
          <w:p w14:paraId="72A1AD2C" w14:textId="77777777" w:rsidR="001F3D32" w:rsidRDefault="00BB2082">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2023 m. gruodžio 13 d. Komisijos reglamento </w:t>
            </w:r>
            <w:hyperlink r:id="rId14" w:tgtFrame="_blank" w:history="1">
              <w:r>
                <w:rPr>
                  <w:color w:val="0563C1" w:themeColor="hyperlink"/>
                  <w:szCs w:val="24"/>
                  <w:u w:val="single"/>
                </w:rPr>
                <w:t>(ES) 2023/2831</w:t>
              </w:r>
            </w:hyperlink>
            <w:r>
              <w:rPr>
                <w:szCs w:val="24"/>
              </w:rPr>
              <w:t xml:space="preserve">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w:t>
            </w:r>
          </w:p>
        </w:tc>
      </w:tr>
      <w:tr w:rsidR="001F3D32" w14:paraId="3E69505F" w14:textId="77777777">
        <w:trPr>
          <w:trHeight w:val="225"/>
        </w:trPr>
        <w:tc>
          <w:tcPr>
            <w:tcW w:w="14879" w:type="dxa"/>
          </w:tcPr>
          <w:p w14:paraId="4ABC8C90" w14:textId="77777777" w:rsidR="001F3D32" w:rsidRDefault="00BB2082">
            <w:pPr>
              <w:ind w:left="426" w:hanging="426"/>
              <w:jc w:val="both"/>
              <w:rPr>
                <w:i/>
                <w:szCs w:val="24"/>
              </w:rPr>
            </w:pPr>
            <w:r>
              <w:rPr>
                <w:b/>
                <w:szCs w:val="24"/>
              </w:rPr>
              <w:t>12</w:t>
            </w:r>
            <w:r>
              <w:rPr>
                <w:bCs/>
                <w:szCs w:val="24"/>
              </w:rPr>
              <w:t xml:space="preserve">. </w:t>
            </w:r>
            <w:r>
              <w:rPr>
                <w:b/>
                <w:szCs w:val="24"/>
              </w:rPr>
              <w:t>Projektų atrankos kriterijai</w:t>
            </w:r>
          </w:p>
        </w:tc>
      </w:tr>
      <w:tr w:rsidR="001F3D32" w14:paraId="692BE56B" w14:textId="77777777">
        <w:trPr>
          <w:trHeight w:val="330"/>
        </w:trPr>
        <w:tc>
          <w:tcPr>
            <w:tcW w:w="14879" w:type="dxa"/>
          </w:tcPr>
          <w:p w14:paraId="693D211B" w14:textId="77777777" w:rsidR="001F3D32" w:rsidRDefault="00BB2082">
            <w:pPr>
              <w:jc w:val="both"/>
              <w:rPr>
                <w:b/>
                <w:szCs w:val="24"/>
              </w:rPr>
            </w:pPr>
            <w:r>
              <w:t xml:space="preserve">Kiekvienas projektas turi atitikti </w:t>
            </w:r>
            <w:r>
              <w:rPr>
                <w:iCs/>
                <w:color w:val="000000"/>
              </w:rPr>
              <w:t>Projektų administravimo ir finansavimo taisyklių 2 priede nustatytus projektų bendruosius atrankos kriterijus.</w:t>
            </w:r>
          </w:p>
        </w:tc>
      </w:tr>
      <w:tr w:rsidR="001F3D32" w14:paraId="17A55D2B" w14:textId="77777777">
        <w:trPr>
          <w:trHeight w:val="162"/>
        </w:trPr>
        <w:tc>
          <w:tcPr>
            <w:tcW w:w="14879" w:type="dxa"/>
          </w:tcPr>
          <w:p w14:paraId="540D2731" w14:textId="77777777" w:rsidR="001F3D32" w:rsidRDefault="00BB2082">
            <w:pPr>
              <w:jc w:val="both"/>
              <w:rPr>
                <w:i/>
                <w:sz w:val="22"/>
                <w:szCs w:val="22"/>
              </w:rPr>
            </w:pPr>
            <w:r>
              <w:rPr>
                <w:b/>
                <w:bCs/>
                <w:iCs/>
                <w:sz w:val="22"/>
                <w:szCs w:val="22"/>
              </w:rPr>
              <w:t>13.</w:t>
            </w:r>
            <w:r>
              <w:rPr>
                <w:b/>
                <w:szCs w:val="22"/>
              </w:rPr>
              <w:t xml:space="preserve"> Jungtinio projekto projektų atrankos kriterijai</w:t>
            </w:r>
          </w:p>
        </w:tc>
      </w:tr>
      <w:tr w:rsidR="001F3D32" w14:paraId="525842E0" w14:textId="77777777">
        <w:trPr>
          <w:trHeight w:val="375"/>
        </w:trPr>
        <w:tc>
          <w:tcPr>
            <w:tcW w:w="14879" w:type="dxa"/>
          </w:tcPr>
          <w:p w14:paraId="3DF3F058" w14:textId="77777777" w:rsidR="001F3D32" w:rsidRDefault="00BB2082">
            <w:pPr>
              <w:jc w:val="both"/>
              <w:rPr>
                <w:b/>
                <w:bCs/>
                <w:iCs/>
                <w:sz w:val="22"/>
                <w:szCs w:val="22"/>
              </w:rPr>
            </w:pPr>
            <w:r>
              <w:t>Projektų specialieji ir (arba) prioritetiniai atrankos kriterijai netaikomi.</w:t>
            </w:r>
          </w:p>
        </w:tc>
      </w:tr>
      <w:tr w:rsidR="001F3D32" w14:paraId="6B80D02B" w14:textId="77777777">
        <w:trPr>
          <w:trHeight w:val="129"/>
        </w:trPr>
        <w:tc>
          <w:tcPr>
            <w:tcW w:w="14879" w:type="dxa"/>
          </w:tcPr>
          <w:p w14:paraId="1F0A5C3A" w14:textId="77777777" w:rsidR="001F3D32" w:rsidRDefault="00BB2082">
            <w:pPr>
              <w:jc w:val="both"/>
              <w:rPr>
                <w:b/>
                <w:bCs/>
                <w:iCs/>
                <w:sz w:val="22"/>
                <w:szCs w:val="22"/>
              </w:rPr>
            </w:pPr>
            <w:r>
              <w:rPr>
                <w:b/>
                <w:szCs w:val="24"/>
              </w:rPr>
              <w:t>14. Reikalavimai įgyvendinus projektų veiklas</w:t>
            </w:r>
          </w:p>
        </w:tc>
      </w:tr>
      <w:tr w:rsidR="001F3D32" w14:paraId="6138D85C" w14:textId="77777777">
        <w:trPr>
          <w:trHeight w:val="615"/>
        </w:trPr>
        <w:tc>
          <w:tcPr>
            <w:tcW w:w="14879" w:type="dxa"/>
          </w:tcPr>
          <w:p w14:paraId="47BEFD2D" w14:textId="77777777" w:rsidR="001F3D32" w:rsidRDefault="00BB2082">
            <w:pPr>
              <w:jc w:val="both"/>
            </w:pPr>
            <w:r>
              <w:t>14.1. Po projekto finansavimo pabaigos 5 metus turi būti užtikrintas investicijų tęstinumas Projektų taisyklių IV skyriaus dešimtajame skirsnyje nustatyta tvarka.</w:t>
            </w:r>
          </w:p>
          <w:p w14:paraId="0503956C" w14:textId="77777777" w:rsidR="001F3D32" w:rsidRDefault="00BB2082">
            <w:pPr>
              <w:jc w:val="both"/>
            </w:pPr>
            <w:r>
              <w:t>14.2. Projekto vykdytojas, teikdamas Administruojančiajai institucijai ataskaitą už pirmuosius metus po projekto finansavimo pabaigos, kartu su ataskaita</w:t>
            </w:r>
            <w:r>
              <w:rPr>
                <w:color w:val="FF0000"/>
              </w:rPr>
              <w:t xml:space="preserve"> </w:t>
            </w:r>
            <w:r>
              <w:t>privalo pateikti statybos užbaigimo aktą (-</w:t>
            </w:r>
            <w:proofErr w:type="spellStart"/>
            <w:r>
              <w:t>us</w:t>
            </w:r>
            <w:proofErr w:type="spellEnd"/>
            <w:r>
              <w:t>), deklaraciją (-</w:t>
            </w:r>
            <w:proofErr w:type="spellStart"/>
            <w:r>
              <w:t>as</w:t>
            </w:r>
            <w:proofErr w:type="spellEnd"/>
            <w:r>
              <w:t>) apie statybos užbaigimą, kai jie privalomi pagal Statybos įstatymą, ir jei šie dokumentai nebuvo pateikti kartu su galutine veiklos ataskaita.</w:t>
            </w:r>
          </w:p>
          <w:p w14:paraId="7587FD30" w14:textId="77777777" w:rsidR="001F3D32" w:rsidRDefault="00BB2082">
            <w:pPr>
              <w:jc w:val="both"/>
            </w:pPr>
            <w:r>
              <w:t>14.3. Atsiradus objektyvioms, nuo projekto vykdytojo nepriklausančioms aplinkybėms, turinčioms įtakos projekto vykdytojo įsipareigojimui pateikti Aprašo 14.2 papunktyje nurodytus dokumentus nustatytu laikotarpiu, projekto vykdytojas nedelsdamas apie tai turi informuoti Administruojančiąją instituciją. Įvertinusi aplinkybes, Administruojančioji institucija gali atidėti Aprašo 14.2 papunktyje nurodytų dokumentų  pateikimo terminą ne daugiau, kaip iki ataskaitos už antruosius metus po projekto finansavimo pabaigos pateikimo termino.</w:t>
            </w:r>
          </w:p>
          <w:p w14:paraId="7D091A09" w14:textId="77777777" w:rsidR="001F3D32" w:rsidRDefault="00BB2082">
            <w:pPr>
              <w:jc w:val="both"/>
              <w:rPr>
                <w:b/>
                <w:bCs/>
                <w:iCs/>
                <w:sz w:val="22"/>
                <w:szCs w:val="22"/>
              </w:rPr>
            </w:pPr>
            <w:r>
              <w:t>14.4. Jeigu projekto vykdytojas projekto sutartyje nustatytu laikotarpiu nepateikia Aprašo 14.2 papunktyje nurodytų dokumentų  ir (ar) pateikiama klaidinanti informacija, Administruojančioji institucija inicijuoja pažeidimo tyrimą, o nustačiusi pažeidimą ir priėmusi sprendimą dėl lėšų grąžinimo inicijuoja išmokėtų projekto finansavimo lėšų susigrąžinimą.</w:t>
            </w:r>
          </w:p>
        </w:tc>
      </w:tr>
      <w:tr w:rsidR="001F3D32" w14:paraId="5D3DA8F1" w14:textId="77777777">
        <w:tc>
          <w:tcPr>
            <w:tcW w:w="14879" w:type="dxa"/>
          </w:tcPr>
          <w:p w14:paraId="5CD11C75" w14:textId="77777777" w:rsidR="001F3D32" w:rsidRDefault="00BB2082">
            <w:pPr>
              <w:rPr>
                <w:b/>
                <w:szCs w:val="24"/>
              </w:rPr>
            </w:pPr>
            <w:r>
              <w:rPr>
                <w:b/>
                <w:szCs w:val="24"/>
              </w:rPr>
              <w:t>15. Kiti reikalavimai</w:t>
            </w:r>
          </w:p>
        </w:tc>
      </w:tr>
      <w:tr w:rsidR="001F3D32" w14:paraId="548D1F27" w14:textId="77777777">
        <w:tc>
          <w:tcPr>
            <w:tcW w:w="14879" w:type="dxa"/>
          </w:tcPr>
          <w:p w14:paraId="218709BB" w14:textId="77777777" w:rsidR="001F3D32" w:rsidRDefault="00BB2082">
            <w:pPr>
              <w:tabs>
                <w:tab w:val="left" w:pos="1134"/>
              </w:tabs>
              <w:jc w:val="both"/>
              <w:rPr>
                <w:i/>
                <w:sz w:val="22"/>
                <w:szCs w:val="22"/>
              </w:rPr>
            </w:pPr>
            <w:r>
              <w:rPr>
                <w:iCs/>
                <w:szCs w:val="24"/>
              </w:rPr>
              <w:t xml:space="preserve">Įgyvendinant </w:t>
            </w:r>
            <w:r>
              <w:rPr>
                <w:szCs w:val="24"/>
              </w:rPr>
              <w:t>projektą, kurio vertė viršija 10 000 000 (dešimt milijonų) eurų, p</w:t>
            </w:r>
            <w:r>
              <w:rPr>
                <w:iCs/>
                <w:szCs w:val="24"/>
              </w:rPr>
              <w:t xml:space="preserve">apildomai </w:t>
            </w:r>
            <w:r>
              <w:rPr>
                <w:szCs w:val="24"/>
              </w:rPr>
              <w:t>projekto vykdytojas turi surengti ne mažiau kaip vieną komunikacinį renginį ar įgyvendinti kitą komunikacinę veiklą ir laiku (prieš 2–3 mėnesius)</w:t>
            </w:r>
            <w:r>
              <w:rPr>
                <w:i/>
                <w:iCs/>
                <w:szCs w:val="24"/>
              </w:rPr>
              <w:t xml:space="preserve"> </w:t>
            </w:r>
            <w:r>
              <w:rPr>
                <w:szCs w:val="24"/>
              </w:rPr>
              <w:t>pakviesti ar įtraukti į jį Europos Komisijos ir vadovaujančiosios institucijos atstovus ir Administruojančiosios institucijos atstovai</w:t>
            </w:r>
            <w:r>
              <w:rPr>
                <w:sz w:val="20"/>
              </w:rPr>
              <w:t>.</w:t>
            </w:r>
          </w:p>
        </w:tc>
      </w:tr>
    </w:tbl>
    <w:p w14:paraId="44F0FB4D" w14:textId="77777777" w:rsidR="001F3D32" w:rsidRDefault="001F3D32">
      <w:pPr>
        <w:jc w:val="center"/>
        <w:rPr>
          <w:b/>
          <w:color w:val="FF0000"/>
          <w:szCs w:val="24"/>
        </w:rPr>
      </w:pPr>
    </w:p>
    <w:p w14:paraId="6BE59488" w14:textId="77777777" w:rsidR="001F3D32" w:rsidRDefault="00BB2082">
      <w:pPr>
        <w:jc w:val="center"/>
        <w:rPr>
          <w:b/>
          <w:szCs w:val="24"/>
        </w:rPr>
      </w:pPr>
      <w:r>
        <w:rPr>
          <w:b/>
          <w:szCs w:val="24"/>
        </w:rPr>
        <w:lastRenderedPageBreak/>
        <w:t>III SKYRIUS</w:t>
      </w:r>
    </w:p>
    <w:p w14:paraId="61802442" w14:textId="77777777" w:rsidR="001F3D32" w:rsidRDefault="00BB2082">
      <w:pPr>
        <w:jc w:val="center"/>
        <w:rPr>
          <w:b/>
          <w:szCs w:val="24"/>
        </w:rPr>
      </w:pPr>
      <w:r>
        <w:rPr>
          <w:b/>
          <w:szCs w:val="24"/>
        </w:rPr>
        <w:t>IŠLAIDŲ TINKAMUMO FINANSUOTI REIKALAVIMAI</w:t>
      </w:r>
    </w:p>
    <w:p w14:paraId="0BFBE5C0" w14:textId="77777777" w:rsidR="001F3D32" w:rsidRDefault="001F3D32"/>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F3D32" w14:paraId="5D8C9DE3" w14:textId="77777777">
        <w:tc>
          <w:tcPr>
            <w:tcW w:w="15134" w:type="dxa"/>
          </w:tcPr>
          <w:p w14:paraId="59A9AE32" w14:textId="77777777" w:rsidR="001F3D32" w:rsidRDefault="00BB2082">
            <w:pPr>
              <w:jc w:val="both"/>
              <w:rPr>
                <w:bCs/>
                <w:szCs w:val="24"/>
              </w:rPr>
            </w:pPr>
            <w:r>
              <w:rPr>
                <w:b/>
                <w:szCs w:val="24"/>
              </w:rPr>
              <w:t>16</w:t>
            </w:r>
            <w:r>
              <w:rPr>
                <w:bCs/>
                <w:szCs w:val="24"/>
              </w:rPr>
              <w:t xml:space="preserve">. </w:t>
            </w:r>
            <w:r>
              <w:rPr>
                <w:b/>
                <w:szCs w:val="24"/>
              </w:rPr>
              <w:t>Išlaidų tinkamumo finansuoti reikalavimai</w:t>
            </w:r>
          </w:p>
        </w:tc>
      </w:tr>
      <w:tr w:rsidR="001F3D32" w14:paraId="20DBD704" w14:textId="77777777">
        <w:tc>
          <w:tcPr>
            <w:tcW w:w="15134" w:type="dxa"/>
          </w:tcPr>
          <w:p w14:paraId="7691F29D" w14:textId="77777777" w:rsidR="001F3D32" w:rsidRDefault="00BB2082">
            <w:pPr>
              <w:jc w:val="both"/>
              <w:rPr>
                <w:szCs w:val="24"/>
                <w:lang w:eastAsia="lt-LT"/>
              </w:rPr>
            </w:pPr>
            <w:r>
              <w:rPr>
                <w:szCs w:val="24"/>
              </w:rPr>
              <w:t xml:space="preserve">16.1. </w:t>
            </w:r>
            <w:r>
              <w:rPr>
                <w:szCs w:val="24"/>
                <w:lang w:eastAsia="lt-LT"/>
              </w:rPr>
              <w:t xml:space="preserve">Projekto išlaidos turi atitikti Projektų taisyklių VII skyriuje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Pr>
                <w:i/>
                <w:iCs/>
                <w:szCs w:val="24"/>
                <w:lang w:eastAsia="lt-LT"/>
              </w:rPr>
              <w:t>esinvesticijos.lt</w:t>
            </w:r>
            <w:proofErr w:type="spellEnd"/>
            <w:r>
              <w:rPr>
                <w:szCs w:val="24"/>
                <w:lang w:eastAsia="lt-LT"/>
              </w:rPr>
              <w:t>, išdėstytus projekto išlaidoms taikomus reikalavimus.</w:t>
            </w:r>
          </w:p>
          <w:p w14:paraId="5815797A" w14:textId="77777777" w:rsidR="001F3D32" w:rsidRDefault="00BB2082">
            <w:pPr>
              <w:jc w:val="both"/>
              <w:rPr>
                <w:szCs w:val="24"/>
              </w:rPr>
            </w:pPr>
            <w:r>
              <w:rPr>
                <w:szCs w:val="24"/>
                <w:lang w:eastAsia="lt-LT"/>
              </w:rPr>
              <w:t xml:space="preserve">16.2. </w:t>
            </w:r>
            <w:r>
              <w:rPr>
                <w:szCs w:val="24"/>
              </w:rPr>
              <w:t>Pagal Aprašą netinkamomis finansuoti laikomos šios išlaidos:</w:t>
            </w:r>
          </w:p>
          <w:p w14:paraId="4AE234AE" w14:textId="77777777" w:rsidR="001F3D32" w:rsidRDefault="00BB2082">
            <w:pPr>
              <w:jc w:val="both"/>
              <w:rPr>
                <w:szCs w:val="24"/>
              </w:rPr>
            </w:pPr>
            <w:r>
              <w:rPr>
                <w:szCs w:val="24"/>
                <w:lang w:eastAsia="lt-LT"/>
              </w:rPr>
              <w:t>16.2.1. nurodytos Projektų taisyklių VII skyriaus trečiajame skirsnyje;</w:t>
            </w:r>
          </w:p>
          <w:p w14:paraId="630BDE9C" w14:textId="77777777" w:rsidR="001F3D32" w:rsidRDefault="00BB2082">
            <w:pPr>
              <w:jc w:val="both"/>
              <w:rPr>
                <w:szCs w:val="24"/>
              </w:rPr>
            </w:pPr>
            <w:r>
              <w:rPr>
                <w:szCs w:val="24"/>
              </w:rPr>
              <w:t xml:space="preserve">16.2.2. </w:t>
            </w:r>
            <w:r>
              <w:rPr>
                <w:szCs w:val="24"/>
                <w:lang w:eastAsia="lt-LT"/>
              </w:rPr>
              <w:t>žemės įsigijimo išlaidos, viršijančios 5 proc. visų tinkamų finansuoti projekto išlaidų;</w:t>
            </w:r>
          </w:p>
          <w:p w14:paraId="5967F9FC" w14:textId="77777777" w:rsidR="001F3D32" w:rsidRDefault="00BB2082">
            <w:pPr>
              <w:tabs>
                <w:tab w:val="left" w:pos="589"/>
              </w:tabs>
              <w:jc w:val="both"/>
              <w:rPr>
                <w:szCs w:val="24"/>
                <w:lang w:eastAsia="lt-LT"/>
              </w:rPr>
            </w:pPr>
            <w:r>
              <w:rPr>
                <w:szCs w:val="24"/>
                <w:lang w:eastAsia="lt-LT"/>
              </w:rPr>
              <w:t>16.2.3. žemės nuomos išlaidos;</w:t>
            </w:r>
          </w:p>
          <w:p w14:paraId="04EE274B" w14:textId="77777777" w:rsidR="001F3D32" w:rsidRDefault="00BB2082">
            <w:pPr>
              <w:tabs>
                <w:tab w:val="left" w:pos="589"/>
              </w:tabs>
              <w:jc w:val="both"/>
              <w:rPr>
                <w:szCs w:val="24"/>
                <w:lang w:eastAsia="lt-LT"/>
              </w:rPr>
            </w:pPr>
            <w:r>
              <w:rPr>
                <w:szCs w:val="24"/>
                <w:lang w:eastAsia="lt-LT"/>
              </w:rPr>
              <w:t>16.2.4. nekilnojamojo turto įsigijimo, išskyrus žemės įsigijimo išlaidas, neviršijančias 5 proc. visų tinkamų finansuoti projekto išlaidų, ar nuomos išlaidos;</w:t>
            </w:r>
          </w:p>
          <w:p w14:paraId="3F662D8E" w14:textId="77777777" w:rsidR="001F3D32" w:rsidRDefault="00BB2082">
            <w:pPr>
              <w:jc w:val="both"/>
              <w:rPr>
                <w:szCs w:val="24"/>
                <w:lang w:eastAsia="lt-LT"/>
              </w:rPr>
            </w:pPr>
            <w:r>
              <w:rPr>
                <w:szCs w:val="24"/>
                <w:lang w:eastAsia="lt-LT"/>
              </w:rPr>
              <w:t xml:space="preserve">16.2.5. </w:t>
            </w:r>
            <w:r>
              <w:rPr>
                <w:szCs w:val="24"/>
              </w:rPr>
              <w:t>naudoto turto įsigijimo išlaidos</w:t>
            </w:r>
            <w:r>
              <w:rPr>
                <w:szCs w:val="24"/>
                <w:lang w:eastAsia="lt-LT"/>
              </w:rPr>
              <w:t>;</w:t>
            </w:r>
          </w:p>
          <w:p w14:paraId="4DEE7B19" w14:textId="77777777" w:rsidR="001F3D32" w:rsidRDefault="00BB2082">
            <w:pPr>
              <w:tabs>
                <w:tab w:val="left" w:pos="589"/>
              </w:tabs>
              <w:jc w:val="both"/>
              <w:rPr>
                <w:szCs w:val="24"/>
              </w:rPr>
            </w:pPr>
            <w:r>
              <w:rPr>
                <w:szCs w:val="24"/>
              </w:rPr>
              <w:t>16.2.6.</w:t>
            </w:r>
            <w:r>
              <w:rPr>
                <w:szCs w:val="24"/>
                <w:lang w:eastAsia="lt-LT"/>
              </w:rPr>
              <w:t xml:space="preserve"> įrangos, įrenginių ir kito turto lizingo (finansinės nuomos) išlaidos;</w:t>
            </w:r>
          </w:p>
          <w:p w14:paraId="50F5581B" w14:textId="77777777" w:rsidR="001F3D32" w:rsidRDefault="00BB2082">
            <w:pPr>
              <w:jc w:val="both"/>
              <w:rPr>
                <w:szCs w:val="24"/>
                <w:lang w:eastAsia="lt-LT"/>
              </w:rPr>
            </w:pPr>
            <w:r>
              <w:rPr>
                <w:szCs w:val="24"/>
                <w:lang w:eastAsia="lt-LT"/>
              </w:rPr>
              <w:t>16.2.7. įrangos, įrenginių ir kito turto atsarginių / pakaitinių dalių įsigijimo išlaidos;</w:t>
            </w:r>
          </w:p>
          <w:p w14:paraId="6F41DE78" w14:textId="77777777" w:rsidR="001F3D32" w:rsidRDefault="00BB2082">
            <w:pPr>
              <w:tabs>
                <w:tab w:val="left" w:pos="589"/>
              </w:tabs>
              <w:jc w:val="both"/>
              <w:rPr>
                <w:szCs w:val="24"/>
                <w:lang w:eastAsia="lt-LT"/>
              </w:rPr>
            </w:pPr>
            <w:r>
              <w:rPr>
                <w:szCs w:val="24"/>
                <w:lang w:eastAsia="lt-LT"/>
              </w:rPr>
              <w:t>16.2.8. naudojamo ilgalaikio turto nusidėvėjimo (amortizacijos) sąnaudos;</w:t>
            </w:r>
          </w:p>
          <w:p w14:paraId="4D00998E" w14:textId="77777777" w:rsidR="001F3D32" w:rsidRDefault="00BB2082">
            <w:pPr>
              <w:jc w:val="both"/>
              <w:rPr>
                <w:szCs w:val="24"/>
                <w:lang w:eastAsia="lt-LT"/>
              </w:rPr>
            </w:pPr>
            <w:r>
              <w:rPr>
                <w:szCs w:val="24"/>
                <w:lang w:eastAsia="lt-LT"/>
              </w:rPr>
              <w:t>16.2.9. išlaidos už leidimų ir (ar) dokumentų gavimą, už kurių gavimą teisės aktų nustatyta tvarka yra atsakingas Pareiškėjas / projekto vykdytojas ar partneris (-</w:t>
            </w:r>
            <w:proofErr w:type="spellStart"/>
            <w:r>
              <w:rPr>
                <w:szCs w:val="24"/>
                <w:lang w:eastAsia="lt-LT"/>
              </w:rPr>
              <w:t>iai</w:t>
            </w:r>
            <w:proofErr w:type="spellEnd"/>
            <w:r>
              <w:rPr>
                <w:szCs w:val="24"/>
                <w:lang w:eastAsia="lt-LT"/>
              </w:rPr>
              <w:t>);</w:t>
            </w:r>
          </w:p>
          <w:p w14:paraId="2B0FAF15" w14:textId="77777777" w:rsidR="001F3D32" w:rsidRDefault="00BB2082">
            <w:pPr>
              <w:jc w:val="both"/>
              <w:rPr>
                <w:szCs w:val="24"/>
                <w:lang w:eastAsia="lt-LT"/>
              </w:rPr>
            </w:pPr>
            <w:r>
              <w:rPr>
                <w:szCs w:val="24"/>
                <w:lang w:eastAsia="lt-LT"/>
              </w:rPr>
              <w:t>16.2.10. projektą vykdančio personalo ir (ar) projekto veiklose dalyvaujančių asmenų darbo užmokestis, komandiruočių ir kelionių išlaidos;</w:t>
            </w:r>
          </w:p>
          <w:p w14:paraId="13BC91F2" w14:textId="77777777" w:rsidR="001F3D32" w:rsidRDefault="00BB2082">
            <w:pPr>
              <w:jc w:val="both"/>
              <w:rPr>
                <w:szCs w:val="24"/>
                <w:lang w:eastAsia="lt-LT"/>
              </w:rPr>
            </w:pPr>
            <w:r>
              <w:rPr>
                <w:szCs w:val="24"/>
                <w:lang w:eastAsia="lt-LT"/>
              </w:rPr>
              <w:t>16.2.11. PĮP parengimo, išskyrus investicijų projekto parengimo išlaidas;</w:t>
            </w:r>
          </w:p>
          <w:p w14:paraId="4437B82C" w14:textId="77777777" w:rsidR="001F3D32" w:rsidRDefault="00BB2082">
            <w:pPr>
              <w:jc w:val="both"/>
              <w:rPr>
                <w:szCs w:val="24"/>
                <w:lang w:eastAsia="lt-LT"/>
              </w:rPr>
            </w:pPr>
            <w:r>
              <w:rPr>
                <w:szCs w:val="24"/>
                <w:lang w:eastAsia="lt-LT"/>
              </w:rPr>
              <w:t>16.2.12. netiesioginės išlaidos ir kitos išlaidos pagal fiksuotąją projekto išlaidų normą.</w:t>
            </w:r>
          </w:p>
          <w:p w14:paraId="28A13FDC" w14:textId="77777777" w:rsidR="001F3D32" w:rsidRDefault="00BB2082">
            <w:pPr>
              <w:jc w:val="both"/>
              <w:rPr>
                <w:szCs w:val="24"/>
                <w:lang w:eastAsia="lt-LT"/>
              </w:rPr>
            </w:pPr>
            <w:r>
              <w:rPr>
                <w:szCs w:val="24"/>
              </w:rPr>
              <w:t>16.2.13. Pridėtinės vertės mokestis nėra tinkamas finansuoti EGADP lėšomis.</w:t>
            </w:r>
          </w:p>
          <w:p w14:paraId="4D1BA686" w14:textId="77777777" w:rsidR="001F3D32" w:rsidRDefault="00BB2082">
            <w:pPr>
              <w:jc w:val="both"/>
              <w:rPr>
                <w:rFonts w:eastAsia="Calibri"/>
                <w:szCs w:val="24"/>
                <w:lang w:eastAsia="lt-LT"/>
              </w:rPr>
            </w:pPr>
            <w:r>
              <w:rPr>
                <w:rFonts w:eastAsia="Calibri"/>
                <w:szCs w:val="24"/>
                <w:lang w:eastAsia="lt-LT"/>
              </w:rPr>
              <w:t>16.3. Projekto išlaidos, susijusios su inžineriniais tinklais, kaip tai apibrėžta Statybos įstatyme, yra netinkamos finansuoti projekto lėšos, išskyrus šiuos atvejus:</w:t>
            </w:r>
          </w:p>
          <w:p w14:paraId="38D04716" w14:textId="77777777" w:rsidR="001F3D32" w:rsidRDefault="00BB2082">
            <w:pPr>
              <w:jc w:val="both"/>
              <w:rPr>
                <w:rFonts w:eastAsia="Calibri"/>
                <w:szCs w:val="24"/>
                <w:lang w:eastAsia="lt-LT"/>
              </w:rPr>
            </w:pPr>
            <w:r>
              <w:rPr>
                <w:rFonts w:eastAsia="Calibri"/>
                <w:szCs w:val="24"/>
                <w:lang w:eastAsia="lt-LT"/>
              </w:rPr>
              <w:t>16.3.1. kai inžineriniai tinklai yra būtini statiniuose vykstantiems technologiniams procesams ir technologinių įrenginių normaliam darbui užtikrinti;</w:t>
            </w:r>
          </w:p>
          <w:p w14:paraId="2943D9C1" w14:textId="77777777" w:rsidR="001F3D32" w:rsidRDefault="00BB2082">
            <w:pPr>
              <w:jc w:val="both"/>
              <w:rPr>
                <w:rFonts w:eastAsia="Calibri"/>
                <w:szCs w:val="24"/>
                <w:lang w:eastAsia="lt-LT"/>
              </w:rPr>
            </w:pPr>
            <w:r>
              <w:rPr>
                <w:rFonts w:eastAsia="Calibri"/>
                <w:szCs w:val="24"/>
                <w:lang w:eastAsia="lt-LT"/>
              </w:rPr>
              <w:t>16.3.2. kai inžineriniai tinklai yra kelio statiniai, kurie, vadovaujantis Lietuvos Respublikos kelių įstatymu, yra kelio (dviračių tako) sudėtinė dalis ir yra kelio (dviračių tako)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 arba kurie yra gatvės elementai, kaip numatyta statybos techniniame reglamente STR 2.06.04:2014 „Gatvės ir vietinės reikšmės keliai. Bendrieji reikalavimai“, patvirtintame Lietuvos Respublikos aplinkos ministro 2014 m. birželio 17 d. įsakymu Nr. D1-533 „Dėl statybos techninio reglamento STR 2.06.04:2014 „Gatvės ir vietinės reikšmės keliai. Bendrieji reikalavimai“ patvirtinimo“.</w:t>
            </w:r>
          </w:p>
          <w:p w14:paraId="2B0594E2" w14:textId="77777777" w:rsidR="001F3D32" w:rsidRDefault="00BB2082">
            <w:pPr>
              <w:jc w:val="both"/>
              <w:rPr>
                <w:szCs w:val="24"/>
              </w:rPr>
            </w:pPr>
            <w:r>
              <w:rPr>
                <w:szCs w:val="24"/>
              </w:rPr>
              <w:lastRenderedPageBreak/>
              <w:t>16.4. Projekto tinkamų finansuoti išlaidų dalis, kurios nepadengia skiriamo finansavimo lėšos, turi būti finansuojama iš projekto vykdytojo ir (ar) partnerio (-</w:t>
            </w:r>
            <w:proofErr w:type="spellStart"/>
            <w:r>
              <w:rPr>
                <w:szCs w:val="24"/>
              </w:rPr>
              <w:t>ių</w:t>
            </w:r>
            <w:proofErr w:type="spellEnd"/>
            <w:r>
              <w:rPr>
                <w:szCs w:val="24"/>
              </w:rPr>
              <w:t>) lėšų.</w:t>
            </w:r>
          </w:p>
          <w:p w14:paraId="102D7ECB" w14:textId="77777777" w:rsidR="001F3D32" w:rsidRDefault="00BB2082">
            <w:pPr>
              <w:jc w:val="both"/>
              <w:rPr>
                <w:szCs w:val="24"/>
                <w:lang w:eastAsia="lt-LT"/>
              </w:rPr>
            </w:pPr>
            <w:r>
              <w:rPr>
                <w:szCs w:val="24"/>
                <w:lang w:eastAsia="lt-LT"/>
              </w:rPr>
              <w:t>16.5. Nepiniginis p</w:t>
            </w:r>
            <w:r>
              <w:rPr>
                <w:color w:val="000000"/>
                <w:szCs w:val="24"/>
              </w:rPr>
              <w:t>areiškėjo / projekto vykdytojo</w:t>
            </w:r>
            <w:r>
              <w:rPr>
                <w:szCs w:val="24"/>
              </w:rPr>
              <w:t xml:space="preserve"> ir (ar) partnerio (-</w:t>
            </w:r>
            <w:proofErr w:type="spellStart"/>
            <w:r>
              <w:rPr>
                <w:szCs w:val="24"/>
              </w:rPr>
              <w:t>ių</w:t>
            </w:r>
            <w:proofErr w:type="spellEnd"/>
            <w:r>
              <w:rPr>
                <w:szCs w:val="24"/>
              </w:rPr>
              <w:t>)</w:t>
            </w:r>
            <w:r>
              <w:rPr>
                <w:color w:val="000000"/>
                <w:szCs w:val="24"/>
              </w:rPr>
              <w:t xml:space="preserve"> </w:t>
            </w:r>
            <w:r>
              <w:rPr>
                <w:szCs w:val="24"/>
                <w:lang w:eastAsia="lt-LT"/>
              </w:rPr>
              <w:t>įnašas laikomas netinkamomis finansuoti išlaidomis.</w:t>
            </w:r>
          </w:p>
          <w:p w14:paraId="3C65D94F" w14:textId="77777777" w:rsidR="001F3D32" w:rsidRDefault="00BB2082">
            <w:pPr>
              <w:jc w:val="both"/>
              <w:rPr>
                <w:i/>
                <w:iCs/>
                <w:szCs w:val="24"/>
              </w:rPr>
            </w:pPr>
            <w:r>
              <w:rPr>
                <w:szCs w:val="24"/>
                <w:lang w:eastAsia="lt-LT"/>
              </w:rPr>
              <w:t>16.6. Pagal Aprašą kryžminis finansavimas netaikomas.</w:t>
            </w:r>
          </w:p>
          <w:p w14:paraId="2A4E81F1" w14:textId="77777777" w:rsidR="001F3D32" w:rsidRDefault="00BB2082">
            <w:pPr>
              <w:jc w:val="both"/>
              <w:rPr>
                <w:sz w:val="22"/>
                <w:szCs w:val="22"/>
              </w:rPr>
            </w:pPr>
            <w:r>
              <w:rPr>
                <w:bCs/>
                <w:szCs w:val="24"/>
              </w:rPr>
              <w:t xml:space="preserve">16.7. </w:t>
            </w:r>
            <w:r>
              <w:rPr>
                <w:szCs w:val="24"/>
              </w:rPr>
              <w:t>Projektas gali būti finansuojamas iš daugiau kaip vieno Europos Sąjungos fondo, užtikrinant, kad tos pačios išlaidos nėra finansuojamos daugiau kaip vieną kartą</w:t>
            </w:r>
            <w:r>
              <w:t>.</w:t>
            </w:r>
          </w:p>
        </w:tc>
      </w:tr>
    </w:tbl>
    <w:p w14:paraId="2CD46D7A" w14:textId="77777777" w:rsidR="001F3D32" w:rsidRDefault="001F3D32"/>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1F3D32" w14:paraId="6A4178A6" w14:textId="77777777">
        <w:trPr>
          <w:trHeight w:val="349"/>
        </w:trPr>
        <w:tc>
          <w:tcPr>
            <w:tcW w:w="15163" w:type="dxa"/>
          </w:tcPr>
          <w:p w14:paraId="6C789D8F" w14:textId="77777777" w:rsidR="001F3D32" w:rsidRDefault="00BB2082">
            <w:pPr>
              <w:jc w:val="both"/>
              <w:rPr>
                <w:bCs/>
                <w:szCs w:val="24"/>
              </w:rPr>
            </w:pPr>
            <w:r>
              <w:rPr>
                <w:b/>
                <w:szCs w:val="24"/>
              </w:rPr>
              <w:t xml:space="preserve">17. Projektų veiklų ir jungtinio projekto projektų įgyvendinimui taikomi supaprastintai apmokamų išlaidų dydžiai </w:t>
            </w:r>
          </w:p>
        </w:tc>
      </w:tr>
      <w:tr w:rsidR="001F3D32" w14:paraId="5FB29D19" w14:textId="77777777">
        <w:tc>
          <w:tcPr>
            <w:tcW w:w="1516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1F3D32" w14:paraId="5EFA29DC" w14:textId="77777777">
              <w:tc>
                <w:tcPr>
                  <w:tcW w:w="14874" w:type="dxa"/>
                  <w:gridSpan w:val="5"/>
                  <w:tcBorders>
                    <w:top w:val="single" w:sz="8" w:space="0" w:color="auto"/>
                    <w:left w:val="single" w:sz="8" w:space="0" w:color="auto"/>
                    <w:bottom w:val="single" w:sz="8" w:space="0" w:color="auto"/>
                    <w:right w:val="single" w:sz="8" w:space="0" w:color="auto"/>
                  </w:tcBorders>
                </w:tcPr>
                <w:p w14:paraId="6CBE6253" w14:textId="77777777" w:rsidR="001F3D32" w:rsidRDefault="00BB2082">
                  <w:pPr>
                    <w:jc w:val="both"/>
                    <w:rPr>
                      <w:b/>
                      <w:bCs/>
                      <w:sz w:val="22"/>
                      <w:szCs w:val="22"/>
                    </w:rPr>
                  </w:pPr>
                  <w:r>
                    <w:rPr>
                      <w:rFonts w:ascii="MS Gothic" w:eastAsia="MS Gothic" w:hAnsi="MS Gothic"/>
                    </w:rPr>
                    <w:t>☒</w:t>
                  </w:r>
                  <w:r>
                    <w:rPr>
                      <w:b/>
                      <w:bCs/>
                      <w:sz w:val="22"/>
                      <w:szCs w:val="22"/>
                    </w:rPr>
                    <w:t xml:space="preserve"> Indeksuojama</w:t>
                  </w:r>
                </w:p>
                <w:p w14:paraId="5ECF0B2D" w14:textId="77777777" w:rsidR="001F3D32" w:rsidRDefault="00BB2082">
                  <w:pPr>
                    <w:jc w:val="both"/>
                    <w:rPr>
                      <w:b/>
                      <w:bCs/>
                      <w:sz w:val="22"/>
                      <w:szCs w:val="22"/>
                    </w:rPr>
                  </w:pPr>
                  <w:r>
                    <w:rPr>
                      <w:rFonts w:ascii="MS Gothic" w:eastAsia="MS Gothic" w:hAnsi="MS Gothic" w:cs="MS Gothic"/>
                      <w:b/>
                      <w:bCs/>
                      <w:sz w:val="22"/>
                      <w:szCs w:val="22"/>
                    </w:rPr>
                    <w:t>☐</w:t>
                  </w:r>
                  <w:r>
                    <w:rPr>
                      <w:b/>
                      <w:bCs/>
                      <w:sz w:val="22"/>
                      <w:szCs w:val="22"/>
                    </w:rPr>
                    <w:t xml:space="preserve"> Neindeksuojama</w:t>
                  </w:r>
                </w:p>
                <w:p w14:paraId="47ECB575" w14:textId="77777777" w:rsidR="001F3D32" w:rsidRDefault="001F3D32">
                  <w:pPr>
                    <w:jc w:val="both"/>
                    <w:rPr>
                      <w:bCs/>
                      <w:sz w:val="22"/>
                      <w:szCs w:val="22"/>
                    </w:rPr>
                  </w:pPr>
                </w:p>
              </w:tc>
            </w:tr>
            <w:tr w:rsidR="001F3D32" w14:paraId="7FC30904" w14:textId="77777777">
              <w:tc>
                <w:tcPr>
                  <w:tcW w:w="2974" w:type="dxa"/>
                  <w:tcBorders>
                    <w:top w:val="single" w:sz="8" w:space="0" w:color="auto"/>
                    <w:left w:val="single" w:sz="8" w:space="0" w:color="auto"/>
                    <w:bottom w:val="single" w:sz="8" w:space="0" w:color="auto"/>
                    <w:right w:val="single" w:sz="8" w:space="0" w:color="auto"/>
                  </w:tcBorders>
                  <w:vAlign w:val="center"/>
                </w:tcPr>
                <w:p w14:paraId="3E24CD64" w14:textId="77777777" w:rsidR="001F3D32" w:rsidRDefault="00BB2082">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24E84175" w14:textId="77777777" w:rsidR="001F3D32" w:rsidRDefault="00BB2082">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7D23EDF5" w14:textId="77777777" w:rsidR="001F3D32" w:rsidRDefault="00BB2082">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666CC2A4" w14:textId="77777777" w:rsidR="001F3D32" w:rsidRDefault="00BB2082">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75740A7B" w14:textId="77777777" w:rsidR="001F3D32" w:rsidRDefault="00BB2082">
                  <w:pPr>
                    <w:jc w:val="center"/>
                    <w:rPr>
                      <w:b/>
                      <w:bCs/>
                      <w:sz w:val="22"/>
                      <w:szCs w:val="22"/>
                    </w:rPr>
                  </w:pPr>
                  <w:r>
                    <w:rPr>
                      <w:b/>
                      <w:bCs/>
                      <w:sz w:val="22"/>
                      <w:szCs w:val="22"/>
                    </w:rPr>
                    <w:t>Papildoma informacija</w:t>
                  </w:r>
                </w:p>
              </w:tc>
            </w:tr>
            <w:tr w:rsidR="001F3D32" w14:paraId="3F4FE9DE" w14:textId="77777777">
              <w:tc>
                <w:tcPr>
                  <w:tcW w:w="2974" w:type="dxa"/>
                  <w:tcBorders>
                    <w:top w:val="single" w:sz="8" w:space="0" w:color="auto"/>
                    <w:left w:val="single" w:sz="8" w:space="0" w:color="auto"/>
                    <w:bottom w:val="single" w:sz="8" w:space="0" w:color="auto"/>
                    <w:right w:val="single" w:sz="8" w:space="0" w:color="auto"/>
                  </w:tcBorders>
                </w:tcPr>
                <w:p w14:paraId="783DD3DD" w14:textId="77777777" w:rsidR="001F3D32" w:rsidRDefault="00BB2082">
                  <w:pPr>
                    <w:jc w:val="both"/>
                    <w:rPr>
                      <w:i/>
                      <w:iCs/>
                      <w:sz w:val="22"/>
                      <w:szCs w:val="22"/>
                      <w:lang w:eastAsia="lt-LT"/>
                    </w:rPr>
                  </w:pPr>
                  <w:r>
                    <w:rPr>
                      <w:sz w:val="22"/>
                      <w:szCs w:val="22"/>
                      <w:lang w:eastAsia="lt-LT"/>
                    </w:rPr>
                    <w:t>Privalomos projektų matomumo ir informavimo apie projektus priemonės ir išlaidos</w:t>
                  </w:r>
                  <w:r>
                    <w:rPr>
                      <w:i/>
                      <w:iCs/>
                      <w:sz w:val="22"/>
                      <w:szCs w:val="22"/>
                      <w:lang w:eastAsia="lt-LT"/>
                    </w:rPr>
                    <w:t>.</w:t>
                  </w:r>
                </w:p>
                <w:p w14:paraId="76F5B766" w14:textId="77777777" w:rsidR="001F3D32" w:rsidRDefault="001F3D32">
                  <w:pPr>
                    <w:jc w:val="both"/>
                    <w:rPr>
                      <w:i/>
                      <w:iCs/>
                      <w:sz w:val="22"/>
                      <w:szCs w:val="22"/>
                      <w:lang w:eastAsia="lt-LT"/>
                    </w:rPr>
                  </w:pPr>
                </w:p>
                <w:p w14:paraId="4B89B678" w14:textId="77777777" w:rsidR="001F3D32" w:rsidRDefault="00BB2082">
                  <w:pPr>
                    <w:jc w:val="both"/>
                    <w:rPr>
                      <w:sz w:val="22"/>
                      <w:szCs w:val="22"/>
                      <w:lang w:eastAsia="lt-LT"/>
                    </w:rPr>
                  </w:pPr>
                  <w:r>
                    <w:rPr>
                      <w:sz w:val="22"/>
                      <w:szCs w:val="22"/>
                      <w:lang w:eastAsia="lt-LT"/>
                    </w:rPr>
                    <w:t>Fiksuotąją sumą sudaro visų antrojo privalomų matomumo ir informavimo priemonių rinkinio išlaidos, kai:</w:t>
                  </w:r>
                </w:p>
                <w:p w14:paraId="7D2A0184" w14:textId="77777777" w:rsidR="001F3D32" w:rsidRDefault="00BB2082">
                  <w:pPr>
                    <w:jc w:val="both"/>
                    <w:rPr>
                      <w:sz w:val="22"/>
                      <w:szCs w:val="22"/>
                      <w:lang w:eastAsia="lt-LT"/>
                    </w:rPr>
                  </w:pPr>
                  <w:r>
                    <w:rPr>
                      <w:sz w:val="22"/>
                      <w:szCs w:val="22"/>
                      <w:lang w:eastAsia="lt-LT"/>
                    </w:rPr>
                    <w:t xml:space="preserve">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w:t>
                  </w:r>
                  <w:r>
                    <w:rPr>
                      <w:sz w:val="22"/>
                      <w:szCs w:val="22"/>
                      <w:lang w:eastAsia="lt-LT"/>
                    </w:rPr>
                    <w:lastRenderedPageBreak/>
                    <w:t>Europos Sąjungos gaunamą finansinę paramą;</w:t>
                  </w:r>
                </w:p>
                <w:p w14:paraId="4F8922AF" w14:textId="77777777" w:rsidR="001F3D32" w:rsidRDefault="00BB2082">
                  <w:pPr>
                    <w:jc w:val="both"/>
                    <w:rPr>
                      <w:sz w:val="22"/>
                      <w:szCs w:val="22"/>
                      <w:lang w:eastAsia="lt-LT"/>
                    </w:rPr>
                  </w:pPr>
                  <w:r>
                    <w:rPr>
                      <w:sz w:val="22"/>
                      <w:szCs w:val="22"/>
                      <w:lang w:eastAsia="lt-LT"/>
                    </w:rPr>
                    <w:t>b) visuomenei arba dalyviams skirtuose dokumentuose ir komunikacijos medžiagoje, susijusioje su veiksmo įgyvendinimu, gerai matomai pateiktas pareiškimas, kuriame akcentuojama gaunama Europos Sąjungos parama;</w:t>
                  </w:r>
                </w:p>
                <w:p w14:paraId="5B04659F" w14:textId="77777777" w:rsidR="001F3D32" w:rsidRDefault="00BB2082">
                  <w:pPr>
                    <w:rPr>
                      <w:i/>
                      <w:iCs/>
                      <w:sz w:val="20"/>
                    </w:rPr>
                  </w:pPr>
                  <w:r>
                    <w:rPr>
                      <w:sz w:val="22"/>
                      <w:szCs w:val="22"/>
                      <w:lang w:eastAsia="lt-LT"/>
                    </w:rPr>
                    <w:t>c) kai tik pradedami fiziškai vykdyti veiksmai, susiję su fizinėmis investicijomis, arba sumontuojama nupirkta įranga, visuomenei gerai matomoje vietoje iškabinamos ilgalaikės lentelės ar informacinės lentos su Europos Sąjungos emblema</w:t>
                  </w:r>
                  <w:r>
                    <w:rPr>
                      <w:sz w:val="20"/>
                      <w:szCs w:val="24"/>
                      <w:lang w:eastAsia="lt-LT"/>
                    </w:rPr>
                    <w:t>.</w:t>
                  </w:r>
                </w:p>
              </w:tc>
              <w:tc>
                <w:tcPr>
                  <w:tcW w:w="2975" w:type="dxa"/>
                  <w:tcBorders>
                    <w:top w:val="single" w:sz="8" w:space="0" w:color="auto"/>
                    <w:left w:val="single" w:sz="8" w:space="0" w:color="auto"/>
                    <w:bottom w:val="single" w:sz="8" w:space="0" w:color="auto"/>
                    <w:right w:val="single" w:sz="8" w:space="0" w:color="auto"/>
                  </w:tcBorders>
                </w:tcPr>
                <w:p w14:paraId="52BB5AA1" w14:textId="77777777" w:rsidR="001F3D32" w:rsidRDefault="00BB2082">
                  <w:pPr>
                    <w:jc w:val="center"/>
                    <w:rPr>
                      <w:i/>
                      <w:iCs/>
                      <w:sz w:val="22"/>
                      <w:szCs w:val="22"/>
                    </w:rPr>
                  </w:pPr>
                  <w:r>
                    <w:rPr>
                      <w:color w:val="000000"/>
                      <w:sz w:val="22"/>
                      <w:szCs w:val="22"/>
                      <w:lang w:eastAsia="lt-LT"/>
                    </w:rPr>
                    <w:lastRenderedPageBreak/>
                    <w:t>FS-01-03</w:t>
                  </w:r>
                </w:p>
              </w:tc>
              <w:tc>
                <w:tcPr>
                  <w:tcW w:w="2975" w:type="dxa"/>
                  <w:tcBorders>
                    <w:top w:val="single" w:sz="8" w:space="0" w:color="auto"/>
                    <w:left w:val="single" w:sz="8" w:space="0" w:color="auto"/>
                    <w:bottom w:val="single" w:sz="8" w:space="0" w:color="auto"/>
                    <w:right w:val="single" w:sz="8" w:space="0" w:color="auto"/>
                  </w:tcBorders>
                </w:tcPr>
                <w:p w14:paraId="7890B278" w14:textId="77777777" w:rsidR="001F3D32" w:rsidRDefault="00BB2082">
                  <w:pPr>
                    <w:spacing w:line="259" w:lineRule="auto"/>
                    <w:ind w:left="720"/>
                    <w:rPr>
                      <w:sz w:val="22"/>
                      <w:szCs w:val="22"/>
                    </w:rPr>
                  </w:pPr>
                  <w:r>
                    <w:rPr>
                      <w:sz w:val="22"/>
                      <w:szCs w:val="22"/>
                    </w:rPr>
                    <w:t>04</w:t>
                  </w:r>
                </w:p>
              </w:tc>
              <w:tc>
                <w:tcPr>
                  <w:tcW w:w="2975" w:type="dxa"/>
                  <w:tcBorders>
                    <w:top w:val="single" w:sz="8" w:space="0" w:color="auto"/>
                    <w:left w:val="single" w:sz="8" w:space="0" w:color="auto"/>
                    <w:bottom w:val="single" w:sz="8" w:space="0" w:color="auto"/>
                    <w:right w:val="single" w:sz="8" w:space="0" w:color="auto"/>
                  </w:tcBorders>
                </w:tcPr>
                <w:p w14:paraId="621B9995" w14:textId="77777777" w:rsidR="001F3D32" w:rsidRDefault="00BB2082">
                  <w:pPr>
                    <w:jc w:val="center"/>
                    <w:rPr>
                      <w:i/>
                      <w:iCs/>
                      <w:sz w:val="22"/>
                      <w:szCs w:val="22"/>
                    </w:rPr>
                  </w:pPr>
                  <w:r>
                    <w:rPr>
                      <w:color w:val="000000"/>
                      <w:sz w:val="22"/>
                      <w:szCs w:val="22"/>
                      <w:lang w:eastAsia="lt-LT"/>
                    </w:rPr>
                    <w:t xml:space="preserve">Įgyvendintų privalomų matomumo ir informavimo apie </w:t>
                  </w:r>
                  <w:r>
                    <w:rPr>
                      <w:sz w:val="22"/>
                      <w:szCs w:val="22"/>
                      <w:lang w:eastAsia="lt-LT"/>
                    </w:rPr>
                    <w:t>Europos Sąjungos</w:t>
                  </w:r>
                  <w:r>
                    <w:rPr>
                      <w:color w:val="000000"/>
                      <w:sz w:val="22"/>
                      <w:szCs w:val="22"/>
                      <w:lang w:eastAsia="lt-LT"/>
                    </w:rPr>
                    <w:t xml:space="preserve"> fondų investicijų veiklas priemonių fiksuotoji suma, antrojo rinkinio fiksuotoji suma be PVM</w:t>
                  </w:r>
                </w:p>
              </w:tc>
              <w:tc>
                <w:tcPr>
                  <w:tcW w:w="2975" w:type="dxa"/>
                  <w:tcBorders>
                    <w:top w:val="single" w:sz="8" w:space="0" w:color="auto"/>
                    <w:left w:val="single" w:sz="8" w:space="0" w:color="auto"/>
                    <w:bottom w:val="single" w:sz="8" w:space="0" w:color="auto"/>
                    <w:right w:val="single" w:sz="8" w:space="0" w:color="auto"/>
                  </w:tcBorders>
                </w:tcPr>
                <w:p w14:paraId="57DFC9DC" w14:textId="77777777" w:rsidR="001F3D32" w:rsidRDefault="00BB2082">
                  <w:pPr>
                    <w:jc w:val="both"/>
                    <w:rPr>
                      <w:i/>
                      <w:iCs/>
                      <w:sz w:val="22"/>
                      <w:szCs w:val="22"/>
                    </w:rPr>
                  </w:pPr>
                  <w:r>
                    <w:rPr>
                      <w:color w:val="000000"/>
                      <w:sz w:val="22"/>
                      <w:szCs w:val="22"/>
                      <w:lang w:eastAsia="lt-LT"/>
                    </w:rPr>
                    <w:t xml:space="preserve">Fiksuotosios sumos skelbiamos svetainėje </w:t>
                  </w:r>
                  <w:proofErr w:type="spellStart"/>
                  <w:r>
                    <w:rPr>
                      <w:color w:val="000000"/>
                      <w:sz w:val="22"/>
                      <w:szCs w:val="22"/>
                      <w:lang w:eastAsia="lt-LT"/>
                    </w:rPr>
                    <w:t>esinvesticijos.lt</w:t>
                  </w:r>
                  <w:proofErr w:type="spellEnd"/>
                  <w:r>
                    <w:rPr>
                      <w:color w:val="000000"/>
                      <w:sz w:val="22"/>
                      <w:szCs w:val="22"/>
                      <w:lang w:eastAsia="lt-LT"/>
                    </w:rPr>
                    <w:t xml:space="preserve"> </w:t>
                  </w:r>
                </w:p>
              </w:tc>
            </w:tr>
          </w:tbl>
          <w:p w14:paraId="77CBC788" w14:textId="77777777" w:rsidR="001F3D32" w:rsidRDefault="001F3D32">
            <w:pPr>
              <w:jc w:val="both"/>
              <w:rPr>
                <w:i/>
                <w:iCs/>
                <w:sz w:val="22"/>
                <w:szCs w:val="22"/>
              </w:rPr>
            </w:pPr>
          </w:p>
        </w:tc>
      </w:tr>
    </w:tbl>
    <w:p w14:paraId="6241A91D" w14:textId="77777777" w:rsidR="001F3D32" w:rsidRDefault="001F3D32">
      <w:pPr>
        <w:spacing w:line="276" w:lineRule="auto"/>
        <w:jc w:val="center"/>
        <w:rPr>
          <w:rFonts w:eastAsia="Calibri"/>
          <w:szCs w:val="24"/>
        </w:rPr>
      </w:pPr>
    </w:p>
    <w:p w14:paraId="0C019FFF" w14:textId="77777777" w:rsidR="001F3D32" w:rsidRDefault="00BB2082">
      <w:pPr>
        <w:spacing w:line="276" w:lineRule="auto"/>
        <w:jc w:val="center"/>
        <w:rPr>
          <w:rFonts w:eastAsia="Calibri"/>
          <w:szCs w:val="24"/>
        </w:rPr>
      </w:pPr>
      <w:r>
        <w:rPr>
          <w:rFonts w:eastAsia="Calibri"/>
          <w:szCs w:val="24"/>
        </w:rPr>
        <w:t>___________________</w:t>
      </w:r>
    </w:p>
    <w:p w14:paraId="3563A0AD" w14:textId="77777777" w:rsidR="001F3D32" w:rsidRDefault="00BB2082">
      <w:pPr>
        <w:rPr>
          <w:szCs w:val="24"/>
        </w:rPr>
      </w:pPr>
      <w:r>
        <w:rPr>
          <w:szCs w:val="24"/>
        </w:rPr>
        <w:br w:type="page"/>
      </w:r>
    </w:p>
    <w:p w14:paraId="4A17D8AD" w14:textId="77777777" w:rsidR="001F3D32" w:rsidRDefault="00BB2082">
      <w:pPr>
        <w:suppressAutoHyphens/>
        <w:ind w:left="9781"/>
        <w:jc w:val="both"/>
        <w:textAlignment w:val="baseline"/>
        <w:rPr>
          <w:szCs w:val="24"/>
        </w:rPr>
      </w:pPr>
      <w:r>
        <w:rPr>
          <w:szCs w:val="24"/>
        </w:rPr>
        <w:lastRenderedPageBreak/>
        <w:t xml:space="preserve">2022–2030 metų plėtros programos valdytojos Lietuvos Respublikos susisiekimo ministerijos susisiekimo plėtros programos pažangos priemonės </w:t>
      </w:r>
      <w:r>
        <w:rPr>
          <w:color w:val="000000"/>
          <w:szCs w:val="24"/>
          <w:lang w:eastAsia="en-GB"/>
        </w:rPr>
        <w:t xml:space="preserve">Nr. </w:t>
      </w:r>
      <w:r>
        <w:rPr>
          <w:szCs w:val="24"/>
          <w:lang w:eastAsia="lt-LT"/>
        </w:rPr>
        <w:t>10-001-06-01-02</w:t>
      </w:r>
      <w:r>
        <w:rPr>
          <w:szCs w:val="24"/>
        </w:rPr>
        <w:t xml:space="preserve"> </w:t>
      </w:r>
      <w:r>
        <w:rPr>
          <w:color w:val="000000"/>
          <w:szCs w:val="24"/>
          <w:lang w:eastAsia="en-GB"/>
        </w:rPr>
        <w:t>„</w:t>
      </w:r>
      <w:r>
        <w:rPr>
          <w:szCs w:val="24"/>
          <w:lang w:eastAsia="lt-LT"/>
        </w:rPr>
        <w:t>Skatinti darnų judumą</w:t>
      </w:r>
      <w:r>
        <w:rPr>
          <w:szCs w:val="24"/>
        </w:rPr>
        <w:t xml:space="preserve">“ veiklos „Dviračių ir pėsčiųjų infrastruktūros vystymas“ </w:t>
      </w:r>
      <w:proofErr w:type="spellStart"/>
      <w:r>
        <w:rPr>
          <w:szCs w:val="24"/>
        </w:rPr>
        <w:t>poveiklės</w:t>
      </w:r>
      <w:proofErr w:type="spellEnd"/>
      <w:r>
        <w:rPr>
          <w:szCs w:val="24"/>
        </w:rPr>
        <w:t xml:space="preserve"> </w:t>
      </w:r>
      <w:r>
        <w:rPr>
          <w:iCs/>
          <w:sz w:val="22"/>
          <w:szCs w:val="22"/>
          <w:lang w:eastAsia="lt-LT"/>
        </w:rPr>
        <w:t>„</w:t>
      </w:r>
      <w:r>
        <w:rPr>
          <w:sz w:val="22"/>
          <w:szCs w:val="22"/>
        </w:rPr>
        <w:t>Dviračių ir pėsčiųjų infrastruktūros vystymas šalia valstybinės reikšmės kelių“</w:t>
      </w:r>
      <w:r>
        <w:rPr>
          <w:szCs w:val="24"/>
        </w:rPr>
        <w:t xml:space="preserve"> projektų finansavimo sąlygų aprašo priedas</w:t>
      </w:r>
    </w:p>
    <w:p w14:paraId="0FE037CC" w14:textId="77777777" w:rsidR="001F3D32" w:rsidRDefault="001F3D32">
      <w:pPr>
        <w:suppressAutoHyphens/>
        <w:ind w:left="9781"/>
        <w:jc w:val="both"/>
        <w:textAlignment w:val="baseline"/>
        <w:rPr>
          <w:szCs w:val="24"/>
          <w:lang w:eastAsia="lt-LT"/>
        </w:rPr>
      </w:pPr>
    </w:p>
    <w:p w14:paraId="27C94382" w14:textId="77777777" w:rsidR="001F3D32" w:rsidRDefault="00BB2082">
      <w:pPr>
        <w:jc w:val="center"/>
        <w:rPr>
          <w:rFonts w:eastAsia="Calibri"/>
          <w:b/>
          <w:bCs/>
          <w:szCs w:val="24"/>
          <w:lang w:eastAsia="lt-LT"/>
        </w:rPr>
      </w:pPr>
      <w:r>
        <w:rPr>
          <w:rFonts w:eastAsia="Calibri"/>
          <w:b/>
          <w:bCs/>
          <w:szCs w:val="24"/>
          <w:lang w:eastAsia="lt-LT"/>
        </w:rPr>
        <w:t>PROJEKTO (ĮSKAITANT JUNGTINĮ PROJEKTĄ) ATITIKTIES REIKŠMINGOS ŽALOS NEDARYMO HORIZONTALIAJAM PRINCIPUI VERTINIMO REIKALAVIMŲ APRAŠAS</w:t>
      </w:r>
    </w:p>
    <w:p w14:paraId="6F2FA71E" w14:textId="77777777" w:rsidR="001F3D32" w:rsidRDefault="001F3D32">
      <w:pPr>
        <w:spacing w:line="276" w:lineRule="auto"/>
        <w:rPr>
          <w:szCs w:val="24"/>
        </w:rPr>
      </w:pPr>
    </w:p>
    <w:p w14:paraId="122B2263" w14:textId="77777777" w:rsidR="001F3D32" w:rsidRDefault="00BB2082">
      <w:pPr>
        <w:spacing w:line="276" w:lineRule="auto"/>
        <w:jc w:val="both"/>
        <w:rPr>
          <w:rFonts w:eastAsia="Calibri"/>
          <w:bCs/>
          <w:szCs w:val="24"/>
          <w:lang w:eastAsia="lt-LT"/>
        </w:rPr>
      </w:pPr>
      <w:r>
        <w:rPr>
          <w:rFonts w:eastAsia="Calibri"/>
          <w:bCs/>
          <w:szCs w:val="24"/>
          <w:lang w:eastAsia="lt-LT"/>
        </w:rPr>
        <w:t>Finansavimo šaltinis, pagal kurį finansuojamas projektas:</w:t>
      </w:r>
    </w:p>
    <w:p w14:paraId="1BD2E671" w14:textId="77777777" w:rsidR="001F3D32" w:rsidRDefault="00BB2082">
      <w:pPr>
        <w:spacing w:line="276" w:lineRule="auto"/>
        <w:jc w:val="both"/>
        <w:rPr>
          <w:rFonts w:eastAsia="Calibri"/>
          <w:bCs/>
          <w:szCs w:val="24"/>
          <w:lang w:eastAsia="lt-LT"/>
        </w:rPr>
      </w:pPr>
      <w:r>
        <w:rPr>
          <w:rFonts w:ascii="MS Gothic" w:eastAsia="MS Gothic" w:hAnsi="MS Gothic"/>
        </w:rPr>
        <w:t>☒</w:t>
      </w:r>
      <w:r>
        <w:rPr>
          <w:szCs w:val="24"/>
          <w:lang w:eastAsia="lt-LT"/>
        </w:rPr>
        <w:t xml:space="preserve"> </w:t>
      </w:r>
      <w:r>
        <w:rPr>
          <w:rFonts w:eastAsia="Calibri"/>
          <w:bCs/>
          <w:szCs w:val="24"/>
          <w:lang w:eastAsia="lt-LT"/>
        </w:rPr>
        <w:t>Ekonomikos gaivinimo ir atsparumo didinimo priemonė</w:t>
      </w:r>
    </w:p>
    <w:p w14:paraId="04DF328E" w14:textId="77777777" w:rsidR="001F3D32" w:rsidRDefault="00BB2082">
      <w:pPr>
        <w:spacing w:line="276" w:lineRule="auto"/>
        <w:jc w:val="both"/>
        <w:rPr>
          <w:rFonts w:eastAsia="Calibri"/>
          <w:bCs/>
          <w:szCs w:val="24"/>
          <w:lang w:eastAsia="lt-LT"/>
        </w:rPr>
      </w:pPr>
      <w:r>
        <w:rPr>
          <w:szCs w:val="24"/>
          <w:lang w:eastAsia="lt-LT"/>
        </w:rPr>
        <w:sym w:font="Wingdings 2" w:char="F0A3"/>
      </w:r>
      <w:r>
        <w:rPr>
          <w:szCs w:val="24"/>
          <w:lang w:eastAsia="lt-LT"/>
        </w:rPr>
        <w:t xml:space="preserve"> Europos Sąjungos fondų i</w:t>
      </w:r>
      <w:r>
        <w:rPr>
          <w:rFonts w:eastAsia="Calibri"/>
          <w:bCs/>
          <w:szCs w:val="24"/>
          <w:lang w:eastAsia="lt-LT"/>
        </w:rPr>
        <w:t>nvesticijų programa (toliau – ESFIP)</w:t>
      </w:r>
    </w:p>
    <w:p w14:paraId="01A3193A" w14:textId="77777777" w:rsidR="001F3D32" w:rsidRDefault="001F3D32">
      <w:pPr>
        <w:spacing w:line="276" w:lineRule="auto"/>
        <w:jc w:val="both"/>
        <w:rPr>
          <w:rFonts w:eastAsia="Calibri"/>
          <w:bCs/>
          <w:szCs w:val="24"/>
          <w:lang w:eastAsia="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57"/>
        <w:gridCol w:w="5331"/>
      </w:tblGrid>
      <w:tr w:rsidR="001F3D32" w14:paraId="12827588" w14:textId="77777777">
        <w:tc>
          <w:tcPr>
            <w:tcW w:w="3261" w:type="dxa"/>
            <w:tcBorders>
              <w:top w:val="single" w:sz="4" w:space="0" w:color="auto"/>
              <w:left w:val="single" w:sz="4" w:space="0" w:color="auto"/>
              <w:bottom w:val="single" w:sz="4" w:space="0" w:color="auto"/>
              <w:right w:val="single" w:sz="4" w:space="0" w:color="auto"/>
            </w:tcBorders>
            <w:hideMark/>
          </w:tcPr>
          <w:p w14:paraId="690B7CEA" w14:textId="77777777" w:rsidR="001F3D32" w:rsidRDefault="00BB2082">
            <w:pPr>
              <w:jc w:val="center"/>
              <w:rPr>
                <w:rFonts w:eastAsia="Calibri"/>
                <w:b/>
                <w:szCs w:val="24"/>
                <w:lang w:eastAsia="lt-LT"/>
              </w:rPr>
            </w:pPr>
            <w:r>
              <w:rPr>
                <w:rFonts w:eastAsia="Calibri"/>
                <w:b/>
                <w:szCs w:val="24"/>
                <w:lang w:eastAsia="lt-LT"/>
              </w:rPr>
              <w:t>Aplinkos tikslai</w:t>
            </w:r>
          </w:p>
          <w:p w14:paraId="78C41BB6" w14:textId="77777777" w:rsidR="001F3D32" w:rsidRDefault="001F3D32">
            <w:pPr>
              <w:jc w:val="center"/>
              <w:rPr>
                <w:rFonts w:eastAsia="Calibri"/>
                <w:b/>
                <w:szCs w:val="24"/>
                <w:lang w:eastAsia="lt-LT"/>
              </w:rPr>
            </w:pPr>
          </w:p>
        </w:tc>
        <w:tc>
          <w:tcPr>
            <w:tcW w:w="6257" w:type="dxa"/>
            <w:tcBorders>
              <w:top w:val="single" w:sz="4" w:space="0" w:color="auto"/>
              <w:left w:val="single" w:sz="4" w:space="0" w:color="auto"/>
              <w:bottom w:val="single" w:sz="4" w:space="0" w:color="auto"/>
              <w:right w:val="single" w:sz="4" w:space="0" w:color="auto"/>
            </w:tcBorders>
            <w:hideMark/>
          </w:tcPr>
          <w:p w14:paraId="16680058" w14:textId="77777777" w:rsidR="001F3D32" w:rsidRDefault="00BB2082">
            <w:pPr>
              <w:jc w:val="center"/>
              <w:rPr>
                <w:rFonts w:eastAsia="Calibri"/>
                <w:b/>
                <w:szCs w:val="24"/>
                <w:lang w:eastAsia="lt-LT"/>
              </w:rPr>
            </w:pPr>
            <w:r>
              <w:rPr>
                <w:rFonts w:eastAsia="Calibri"/>
                <w:b/>
                <w:szCs w:val="24"/>
                <w:lang w:eastAsia="lt-LT"/>
              </w:rPr>
              <w:t>Su Europos Komisija suderintas pagrindimas</w:t>
            </w:r>
          </w:p>
          <w:p w14:paraId="2EE1E0C0" w14:textId="77777777" w:rsidR="001F3D32" w:rsidRDefault="001F3D32">
            <w:pPr>
              <w:jc w:val="center"/>
              <w:rPr>
                <w:rFonts w:eastAsia="Calibri"/>
                <w:b/>
                <w:szCs w:val="24"/>
                <w:lang w:eastAsia="lt-LT"/>
              </w:rPr>
            </w:pPr>
          </w:p>
        </w:tc>
        <w:tc>
          <w:tcPr>
            <w:tcW w:w="5331" w:type="dxa"/>
            <w:tcBorders>
              <w:top w:val="single" w:sz="4" w:space="0" w:color="auto"/>
              <w:left w:val="single" w:sz="4" w:space="0" w:color="auto"/>
              <w:bottom w:val="single" w:sz="4" w:space="0" w:color="auto"/>
              <w:right w:val="single" w:sz="4" w:space="0" w:color="auto"/>
            </w:tcBorders>
            <w:hideMark/>
          </w:tcPr>
          <w:p w14:paraId="2A77E2BE" w14:textId="77777777" w:rsidR="001F3D32" w:rsidRDefault="00BB2082">
            <w:pPr>
              <w:jc w:val="center"/>
              <w:rPr>
                <w:rFonts w:eastAsia="Calibri"/>
                <w:i/>
                <w:szCs w:val="24"/>
                <w:lang w:eastAsia="lt-LT"/>
              </w:rPr>
            </w:pPr>
            <w:r>
              <w:rPr>
                <w:rFonts w:eastAsia="Calibri"/>
                <w:b/>
                <w:szCs w:val="24"/>
                <w:lang w:eastAsia="lt-LT"/>
              </w:rPr>
              <w:t>Pagrindimo dokumentai</w:t>
            </w:r>
          </w:p>
          <w:p w14:paraId="54426751" w14:textId="77777777" w:rsidR="001F3D32" w:rsidRDefault="001F3D32">
            <w:pPr>
              <w:jc w:val="center"/>
              <w:rPr>
                <w:rFonts w:eastAsia="Calibri"/>
                <w:b/>
                <w:bCs/>
                <w:iCs/>
                <w:szCs w:val="24"/>
                <w:lang w:eastAsia="lt-LT"/>
              </w:rPr>
            </w:pPr>
          </w:p>
        </w:tc>
      </w:tr>
      <w:tr w:rsidR="001F3D32" w14:paraId="6768AA64" w14:textId="77777777">
        <w:tc>
          <w:tcPr>
            <w:tcW w:w="3261" w:type="dxa"/>
            <w:tcBorders>
              <w:top w:val="single" w:sz="4" w:space="0" w:color="auto"/>
              <w:left w:val="single" w:sz="4" w:space="0" w:color="auto"/>
              <w:bottom w:val="single" w:sz="4" w:space="0" w:color="auto"/>
              <w:right w:val="single" w:sz="4" w:space="0" w:color="auto"/>
            </w:tcBorders>
            <w:hideMark/>
          </w:tcPr>
          <w:p w14:paraId="31E3937C" w14:textId="77777777" w:rsidR="001F3D32" w:rsidRDefault="00BB2082">
            <w:pPr>
              <w:tabs>
                <w:tab w:val="left" w:pos="289"/>
              </w:tabs>
              <w:ind w:firstLine="5"/>
              <w:jc w:val="both"/>
              <w:rPr>
                <w:rFonts w:eastAsia="Calibri"/>
                <w:szCs w:val="24"/>
                <w:lang w:eastAsia="lt-LT"/>
              </w:rPr>
            </w:pPr>
            <w:r>
              <w:rPr>
                <w:rFonts w:eastAsia="Calibri"/>
                <w:szCs w:val="24"/>
                <w:lang w:eastAsia="lt-LT"/>
              </w:rPr>
              <w:t>1.</w:t>
            </w:r>
            <w:r>
              <w:rPr>
                <w:rFonts w:eastAsia="Calibri"/>
                <w:szCs w:val="24"/>
                <w:lang w:eastAsia="lt-LT"/>
              </w:rPr>
              <w:tab/>
              <w:t>Klimato kaitos švelninimas</w:t>
            </w:r>
          </w:p>
        </w:tc>
        <w:tc>
          <w:tcPr>
            <w:tcW w:w="6257" w:type="dxa"/>
            <w:tcBorders>
              <w:top w:val="single" w:sz="4" w:space="0" w:color="auto"/>
              <w:left w:val="single" w:sz="4" w:space="0" w:color="auto"/>
              <w:bottom w:val="single" w:sz="4" w:space="0" w:color="auto"/>
              <w:right w:val="single" w:sz="4" w:space="0" w:color="auto"/>
            </w:tcBorders>
          </w:tcPr>
          <w:p w14:paraId="029DD4EA" w14:textId="77777777" w:rsidR="001F3D32" w:rsidRDefault="00BB2082">
            <w:pPr>
              <w:jc w:val="both"/>
              <w:rPr>
                <w:szCs w:val="24"/>
                <w:lang w:eastAsia="lt-LT"/>
              </w:rPr>
            </w:pPr>
            <w:r>
              <w:rPr>
                <w:szCs w:val="24"/>
                <w:lang w:eastAsia="lt-LT"/>
              </w:rPr>
              <w:t xml:space="preserve">Vertinama, kad planuojama įgyvendinti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šalia valstybinės reikšmės kelių“ </w:t>
            </w:r>
            <w:r>
              <w:rPr>
                <w:szCs w:val="24"/>
                <w:lang w:eastAsia="lt-LT"/>
              </w:rPr>
              <w:t>neturi jokio numatomo neigiamo poveikio šiam aplinkos tikslui arba numatomas jos poveikis yra nereikšmingas, t. y. nedaro tiesioginio ir pirminio netiesioginio poveikio per visą gyvavimo ciklą, todėl laikoma, kad veikla atitinka klimato kaitos švelninimo tikslą.</w:t>
            </w:r>
          </w:p>
          <w:p w14:paraId="7BFDD8D1" w14:textId="77777777" w:rsidR="001F3D32" w:rsidRDefault="00BB2082">
            <w:pPr>
              <w:jc w:val="both"/>
              <w:rPr>
                <w:bCs/>
                <w:szCs w:val="24"/>
                <w:lang w:eastAsia="lt-LT"/>
              </w:rPr>
            </w:pPr>
            <w:r>
              <w:rPr>
                <w:bCs/>
                <w:szCs w:val="24"/>
                <w:lang w:eastAsia="lt-LT"/>
              </w:rPr>
              <w:t xml:space="preserve">Plėtojant dviračiams ir pėstiesiems skirtą infrastruktūrą, bus skatinama </w:t>
            </w:r>
            <w:proofErr w:type="spellStart"/>
            <w:r>
              <w:rPr>
                <w:bCs/>
                <w:szCs w:val="24"/>
                <w:lang w:eastAsia="lt-LT"/>
              </w:rPr>
              <w:t>bevariklio</w:t>
            </w:r>
            <w:proofErr w:type="spellEnd"/>
            <w:r>
              <w:rPr>
                <w:bCs/>
                <w:szCs w:val="24"/>
                <w:lang w:eastAsia="lt-LT"/>
              </w:rPr>
              <w:t xml:space="preserve"> transporto integracija, sukuriant palankias prielaidas gyventojams rinktis alternatyvų judėjimo būdą naudojant </w:t>
            </w:r>
            <w:proofErr w:type="spellStart"/>
            <w:r>
              <w:rPr>
                <w:bCs/>
                <w:szCs w:val="24"/>
                <w:lang w:eastAsia="lt-LT"/>
              </w:rPr>
              <w:t>bevarikles</w:t>
            </w:r>
            <w:proofErr w:type="spellEnd"/>
            <w:r>
              <w:rPr>
                <w:bCs/>
                <w:szCs w:val="24"/>
                <w:lang w:eastAsia="lt-LT"/>
              </w:rPr>
              <w:t xml:space="preserve"> transporto priemones. Vadovaujantis </w:t>
            </w:r>
            <w:r>
              <w:rPr>
                <w:szCs w:val="24"/>
              </w:rPr>
              <w:t xml:space="preserve">2021 m. birželio 24 d. Europos Parlamento ir Tarybos </w:t>
            </w:r>
            <w:r>
              <w:rPr>
                <w:color w:val="000000"/>
                <w:szCs w:val="24"/>
              </w:rPr>
              <w:t xml:space="preserve">reglamento </w:t>
            </w:r>
            <w:hyperlink r:id="rId15" w:tgtFrame="_blank" w:history="1">
              <w:r>
                <w:rPr>
                  <w:color w:val="0563C1" w:themeColor="hyperlink"/>
                  <w:szCs w:val="24"/>
                  <w:u w:val="single"/>
                </w:rPr>
                <w:t>(ES) 2021/1060</w:t>
              </w:r>
            </w:hyperlink>
            <w:r>
              <w:rPr>
                <w:szCs w:val="24"/>
              </w:rPr>
              <w:t xml:space="preserve">, kuriuo nustatomos bendros Europos regioninės plėtros fondo, „Europos socialinio fondo+“, Sanglaudos fondo, Teisingos pertvarkos fondo ir </w:t>
            </w:r>
            <w:r>
              <w:rPr>
                <w:szCs w:val="24"/>
              </w:rPr>
              <w:lastRenderedPageBreak/>
              <w:t>Europos jūrų reikalų, žvejybos ir akvakultūros fondo nuostatos ir šių fondų bei Prieglobsčio, migracijos ir integracijos fondo, Vidaus saugumo fondo ir Sienų valdymo ir vizų politikos finansinės paramos priemonės taisyklės,</w:t>
            </w:r>
            <w:r>
              <w:rPr>
                <w:bCs/>
                <w:szCs w:val="24"/>
                <w:lang w:eastAsia="lt-LT"/>
              </w:rPr>
              <w:t xml:space="preserve"> I priedu taikomas 100 proc. paramos, siekiant su klimato kaita susijusių tikslų, skaičiavimo koeficientas (083). Planuojama įrengti infrastruktūra atitinka 2021 m. birželio 4 d</w:t>
            </w:r>
            <w:r>
              <w:rPr>
                <w:color w:val="1E1E1F"/>
                <w:szCs w:val="24"/>
                <w:shd w:val="clear" w:color="auto" w:fill="FFFFFF"/>
                <w:lang w:eastAsia="lt-LT"/>
              </w:rPr>
              <w:t xml:space="preserve">. Komisijos </w:t>
            </w:r>
            <w:r>
              <w:rPr>
                <w:bCs/>
                <w:szCs w:val="24"/>
                <w:lang w:eastAsia="lt-LT"/>
              </w:rPr>
              <w:t xml:space="preserve">deleguotojo reglamento </w:t>
            </w:r>
            <w:hyperlink r:id="rId16" w:tgtFrame="_blank" w:history="1">
              <w:r>
                <w:rPr>
                  <w:bCs/>
                  <w:color w:val="0563C1" w:themeColor="hyperlink"/>
                  <w:szCs w:val="24"/>
                  <w:u w:val="single"/>
                  <w:lang w:eastAsia="lt-LT"/>
                </w:rPr>
                <w:t>(</w:t>
              </w:r>
              <w:r>
                <w:rPr>
                  <w:color w:val="0563C1" w:themeColor="hyperlink"/>
                  <w:szCs w:val="24"/>
                  <w:u w:val="single"/>
                  <w:lang w:eastAsia="lt-LT"/>
                </w:rPr>
                <w:t>ES) 2021/2139</w:t>
              </w:r>
            </w:hyperlink>
            <w:r>
              <w:rPr>
                <w:szCs w:val="24"/>
                <w:lang w:eastAsia="lt-LT"/>
              </w:rPr>
              <w:t xml:space="preserve">, kuriuo Europos Parlamento ir Tarybos reglamentas </w:t>
            </w:r>
            <w:hyperlink r:id="rId17" w:tgtFrame="_blank" w:history="1">
              <w:r>
                <w:rPr>
                  <w:color w:val="0563C1" w:themeColor="hyperlink"/>
                  <w:szCs w:val="24"/>
                  <w:u w:val="single"/>
                  <w:lang w:eastAsia="lt-LT"/>
                </w:rPr>
                <w:t>(ES) 2020/852</w:t>
              </w:r>
            </w:hyperlink>
            <w:r>
              <w:rPr>
                <w:szCs w:val="24"/>
                <w:lang w:eastAsia="lt-LT"/>
              </w:rPr>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I ir II priedo 6.13 punkte „</w:t>
            </w:r>
            <w:proofErr w:type="spellStart"/>
            <w:r>
              <w:rPr>
                <w:szCs w:val="24"/>
                <w:lang w:eastAsia="lt-LT"/>
              </w:rPr>
              <w:t>Mikromobilumo</w:t>
            </w:r>
            <w:proofErr w:type="spellEnd"/>
            <w:r>
              <w:rPr>
                <w:szCs w:val="24"/>
                <w:lang w:eastAsia="lt-LT"/>
              </w:rPr>
              <w:t xml:space="preserve"> infrastruktūra, dviračių transporto logistika“ nurodytus svaraus prisidėjimo kriterijus.</w:t>
            </w:r>
          </w:p>
          <w:p w14:paraId="5473B287" w14:textId="77777777" w:rsidR="001F3D32" w:rsidRDefault="00BB2082">
            <w:pPr>
              <w:jc w:val="both"/>
              <w:rPr>
                <w:rFonts w:eastAsia="Calibri"/>
                <w:bCs/>
                <w:i/>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bus numatytas projektų vykdytojų ir (ar) partnerių 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tc>
        <w:tc>
          <w:tcPr>
            <w:tcW w:w="5331" w:type="dxa"/>
            <w:tcBorders>
              <w:top w:val="single" w:sz="4" w:space="0" w:color="auto"/>
              <w:left w:val="single" w:sz="4" w:space="0" w:color="auto"/>
              <w:bottom w:val="single" w:sz="4" w:space="0" w:color="auto"/>
              <w:right w:val="single" w:sz="4" w:space="0" w:color="auto"/>
            </w:tcBorders>
            <w:hideMark/>
          </w:tcPr>
          <w:p w14:paraId="7594C579" w14:textId="77777777" w:rsidR="001F3D32" w:rsidRDefault="00BB2082">
            <w:pPr>
              <w:tabs>
                <w:tab w:val="left" w:pos="34"/>
                <w:tab w:val="left" w:pos="473"/>
              </w:tabs>
              <w:jc w:val="both"/>
              <w:rPr>
                <w:rFonts w:eastAsia="Calibri"/>
                <w:iCs/>
                <w:szCs w:val="24"/>
                <w:lang w:eastAsia="lt-LT"/>
              </w:rPr>
            </w:pPr>
            <w:r>
              <w:rPr>
                <w:rFonts w:eastAsia="Calibri"/>
                <w:iCs/>
                <w:szCs w:val="24"/>
                <w:lang w:eastAsia="lt-LT"/>
              </w:rPr>
              <w:lastRenderedPageBreak/>
              <w:t>Pagrindimo dokumentai neteikiami.</w:t>
            </w:r>
          </w:p>
        </w:tc>
      </w:tr>
      <w:tr w:rsidR="001F3D32" w14:paraId="673B8B10" w14:textId="77777777">
        <w:tc>
          <w:tcPr>
            <w:tcW w:w="3261" w:type="dxa"/>
            <w:tcBorders>
              <w:top w:val="single" w:sz="4" w:space="0" w:color="auto"/>
              <w:left w:val="single" w:sz="4" w:space="0" w:color="auto"/>
              <w:bottom w:val="single" w:sz="4" w:space="0" w:color="auto"/>
              <w:right w:val="single" w:sz="4" w:space="0" w:color="auto"/>
            </w:tcBorders>
            <w:hideMark/>
          </w:tcPr>
          <w:p w14:paraId="355DACD9" w14:textId="77777777" w:rsidR="001F3D32" w:rsidRDefault="00BB2082">
            <w:pPr>
              <w:tabs>
                <w:tab w:val="left" w:pos="289"/>
              </w:tabs>
              <w:ind w:firstLine="5"/>
              <w:jc w:val="both"/>
              <w:rPr>
                <w:rFonts w:eastAsia="Calibri"/>
                <w:szCs w:val="24"/>
                <w:lang w:eastAsia="lt-LT"/>
              </w:rPr>
            </w:pPr>
            <w:r>
              <w:rPr>
                <w:rFonts w:eastAsia="Calibri"/>
                <w:szCs w:val="24"/>
                <w:lang w:eastAsia="lt-LT"/>
              </w:rPr>
              <w:t>2.</w:t>
            </w:r>
            <w:r>
              <w:rPr>
                <w:rFonts w:eastAsia="Calibri"/>
                <w:szCs w:val="24"/>
                <w:lang w:eastAsia="lt-LT"/>
              </w:rPr>
              <w:tab/>
              <w:t>Prisitaikymas prie klimato kaitos</w:t>
            </w:r>
          </w:p>
        </w:tc>
        <w:tc>
          <w:tcPr>
            <w:tcW w:w="6257" w:type="dxa"/>
            <w:tcBorders>
              <w:top w:val="single" w:sz="4" w:space="0" w:color="auto"/>
              <w:left w:val="single" w:sz="4" w:space="0" w:color="auto"/>
              <w:bottom w:val="single" w:sz="4" w:space="0" w:color="auto"/>
              <w:right w:val="single" w:sz="4" w:space="0" w:color="auto"/>
            </w:tcBorders>
          </w:tcPr>
          <w:p w14:paraId="65BCD799" w14:textId="77777777" w:rsidR="001F3D32" w:rsidRDefault="00BB2082">
            <w:pPr>
              <w:ind w:left="51"/>
              <w:jc w:val="both"/>
              <w:rPr>
                <w:szCs w:val="24"/>
                <w:lang w:eastAsia="lt-LT"/>
              </w:rPr>
            </w:pPr>
            <w:r>
              <w:rPr>
                <w:szCs w:val="24"/>
                <w:lang w:eastAsia="lt-LT"/>
              </w:rPr>
              <w:t xml:space="preserve">Vertinama, kad planuojama įgyvendinti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šalia valstybinės reikšmės kelių“</w:t>
            </w:r>
            <w:r>
              <w:rPr>
                <w:szCs w:val="24"/>
                <w:lang w:eastAsia="lt-LT"/>
              </w:rPr>
              <w:t xml:space="preserve"> neturi jokio numatomo poveikio šiam aplinkos tikslui arba numatomas jos poveikis yra nereikšmingas, t. y. nedaro tiesioginio ir pirminio netiesioginio poveikio per visą gyvavimo ciklą, todėl laikoma, kad veiksmai (veiklos) atitinka klimato kaitos švelninimo tikslą ir neturės neigiamos įtakos žmonėms, gamtai ar turtui.</w:t>
            </w:r>
          </w:p>
          <w:p w14:paraId="18A7EF76" w14:textId="77777777" w:rsidR="001F3D32" w:rsidRDefault="00BB2082">
            <w:pPr>
              <w:ind w:left="51"/>
              <w:jc w:val="both"/>
              <w:rPr>
                <w:szCs w:val="24"/>
                <w:lang w:eastAsia="lt-LT"/>
              </w:rPr>
            </w:pPr>
            <w:r>
              <w:rPr>
                <w:szCs w:val="24"/>
                <w:lang w:eastAsia="lt-LT"/>
              </w:rPr>
              <w:t xml:space="preserve">Plėtojant </w:t>
            </w:r>
            <w:r>
              <w:rPr>
                <w:bCs/>
                <w:szCs w:val="24"/>
                <w:lang w:eastAsia="lt-LT"/>
              </w:rPr>
              <w:t>dviračiams ir pėstiesiems skirtą infrastruktūrą</w:t>
            </w:r>
            <w:r>
              <w:rPr>
                <w:szCs w:val="24"/>
                <w:lang w:eastAsia="lt-LT"/>
              </w:rPr>
              <w:t xml:space="preserve">, bus skatinama </w:t>
            </w:r>
            <w:proofErr w:type="spellStart"/>
            <w:r>
              <w:rPr>
                <w:szCs w:val="24"/>
                <w:lang w:eastAsia="lt-LT"/>
              </w:rPr>
              <w:t>bevariklio</w:t>
            </w:r>
            <w:proofErr w:type="spellEnd"/>
            <w:r>
              <w:rPr>
                <w:szCs w:val="24"/>
                <w:lang w:eastAsia="lt-LT"/>
              </w:rPr>
              <w:t xml:space="preserve"> transporto integracija, sukuriant palankias prielaidas gyventojams rinktis alternatyvų judėjimo būdą naudojant </w:t>
            </w:r>
            <w:proofErr w:type="spellStart"/>
            <w:r>
              <w:rPr>
                <w:szCs w:val="24"/>
                <w:lang w:eastAsia="lt-LT"/>
              </w:rPr>
              <w:t>bevarikles</w:t>
            </w:r>
            <w:proofErr w:type="spellEnd"/>
            <w:r>
              <w:rPr>
                <w:szCs w:val="24"/>
                <w:lang w:eastAsia="lt-LT"/>
              </w:rPr>
              <w:t xml:space="preserve"> transporto priemones. Vadovaujantis Reglamento </w:t>
            </w:r>
            <w:hyperlink r:id="rId18" w:tgtFrame="_blank" w:history="1">
              <w:r>
                <w:rPr>
                  <w:color w:val="0563C1" w:themeColor="hyperlink"/>
                  <w:szCs w:val="24"/>
                  <w:u w:val="single"/>
                  <w:lang w:eastAsia="lt-LT"/>
                </w:rPr>
                <w:t>(ES) 2021/1060</w:t>
              </w:r>
            </w:hyperlink>
            <w:r>
              <w:rPr>
                <w:szCs w:val="24"/>
                <w:lang w:eastAsia="lt-LT"/>
              </w:rPr>
              <w:t xml:space="preserve"> I priedu taikomas </w:t>
            </w:r>
            <w:r>
              <w:rPr>
                <w:szCs w:val="24"/>
                <w:lang w:eastAsia="lt-LT"/>
              </w:rPr>
              <w:lastRenderedPageBreak/>
              <w:t xml:space="preserve">100 proc. paramos, siekiant su klimato kaita susijusių tikslų, skaičiavimo koeficientas (083). </w:t>
            </w:r>
            <w:r>
              <w:rPr>
                <w:bCs/>
                <w:szCs w:val="24"/>
                <w:lang w:eastAsia="lt-LT"/>
              </w:rPr>
              <w:t xml:space="preserve">Planuojama infrastruktūra atitinka Deleguotojo reglamento </w:t>
            </w:r>
            <w:hyperlink r:id="rId19" w:tgtFrame="_blank" w:history="1">
              <w:r>
                <w:rPr>
                  <w:bCs/>
                  <w:color w:val="0563C1" w:themeColor="hyperlink"/>
                  <w:szCs w:val="24"/>
                  <w:u w:val="single"/>
                  <w:lang w:eastAsia="lt-LT"/>
                </w:rPr>
                <w:t>(</w:t>
              </w:r>
              <w:r>
                <w:rPr>
                  <w:color w:val="0563C1" w:themeColor="hyperlink"/>
                  <w:szCs w:val="24"/>
                  <w:u w:val="single"/>
                  <w:lang w:eastAsia="lt-LT"/>
                </w:rPr>
                <w:t>ES) 2021/2139</w:t>
              </w:r>
            </w:hyperlink>
            <w:r>
              <w:rPr>
                <w:szCs w:val="24"/>
                <w:lang w:eastAsia="lt-LT"/>
              </w:rPr>
              <w:t xml:space="preserve"> I ir II priedo 6.13 punkte „</w:t>
            </w:r>
            <w:proofErr w:type="spellStart"/>
            <w:r>
              <w:rPr>
                <w:szCs w:val="24"/>
                <w:lang w:eastAsia="lt-LT"/>
              </w:rPr>
              <w:t>Mikromobilumo</w:t>
            </w:r>
            <w:proofErr w:type="spellEnd"/>
            <w:r>
              <w:rPr>
                <w:szCs w:val="24"/>
                <w:lang w:eastAsia="lt-LT"/>
              </w:rPr>
              <w:t xml:space="preserve"> infrastruktūra, dviračių transporto logistika“ nurodytus svaraus prisidėjimo ir reikšmingos žalos nedarymo kriterijus.</w:t>
            </w:r>
          </w:p>
          <w:p w14:paraId="7D9A4466" w14:textId="77777777" w:rsidR="001F3D32" w:rsidRDefault="00BB2082">
            <w:pPr>
              <w:ind w:left="51"/>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bus numatytas projektų vykdytojų ir (ar) tarpininkų 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tc>
        <w:tc>
          <w:tcPr>
            <w:tcW w:w="5331" w:type="dxa"/>
            <w:tcBorders>
              <w:top w:val="single" w:sz="4" w:space="0" w:color="auto"/>
              <w:left w:val="single" w:sz="4" w:space="0" w:color="auto"/>
              <w:bottom w:val="single" w:sz="4" w:space="0" w:color="auto"/>
              <w:right w:val="single" w:sz="4" w:space="0" w:color="auto"/>
            </w:tcBorders>
          </w:tcPr>
          <w:p w14:paraId="223F08A6" w14:textId="77777777" w:rsidR="001F3D32" w:rsidRDefault="00BB2082">
            <w:pPr>
              <w:tabs>
                <w:tab w:val="left" w:pos="458"/>
              </w:tabs>
              <w:jc w:val="both"/>
              <w:rPr>
                <w:rFonts w:eastAsia="Calibri"/>
                <w:i/>
                <w:iCs/>
                <w:szCs w:val="24"/>
              </w:rPr>
            </w:pPr>
            <w:r>
              <w:rPr>
                <w:rFonts w:eastAsia="Calibri"/>
                <w:iCs/>
                <w:szCs w:val="24"/>
              </w:rPr>
              <w:lastRenderedPageBreak/>
              <w:t>Pagrindimo dokumentai neteikiami.</w:t>
            </w:r>
          </w:p>
        </w:tc>
      </w:tr>
      <w:tr w:rsidR="001F3D32" w14:paraId="047A963E" w14:textId="77777777">
        <w:tc>
          <w:tcPr>
            <w:tcW w:w="3261" w:type="dxa"/>
            <w:tcBorders>
              <w:top w:val="single" w:sz="4" w:space="0" w:color="auto"/>
              <w:left w:val="single" w:sz="4" w:space="0" w:color="auto"/>
              <w:bottom w:val="single" w:sz="4" w:space="0" w:color="auto"/>
              <w:right w:val="single" w:sz="4" w:space="0" w:color="auto"/>
            </w:tcBorders>
            <w:hideMark/>
          </w:tcPr>
          <w:p w14:paraId="7252DEF1" w14:textId="77777777" w:rsidR="001F3D32" w:rsidRDefault="00BB2082">
            <w:pPr>
              <w:tabs>
                <w:tab w:val="left" w:pos="289"/>
              </w:tabs>
              <w:ind w:firstLine="5"/>
              <w:jc w:val="both"/>
              <w:rPr>
                <w:rFonts w:eastAsia="Calibri"/>
                <w:szCs w:val="24"/>
                <w:lang w:eastAsia="lt-LT"/>
              </w:rPr>
            </w:pPr>
            <w:r>
              <w:rPr>
                <w:rFonts w:eastAsia="Calibri"/>
                <w:szCs w:val="24"/>
                <w:lang w:eastAsia="lt-LT"/>
              </w:rPr>
              <w:t>3.</w:t>
            </w:r>
            <w:r>
              <w:rPr>
                <w:rFonts w:eastAsia="Calibri"/>
                <w:szCs w:val="24"/>
                <w:lang w:eastAsia="lt-LT"/>
              </w:rPr>
              <w:tab/>
              <w:t>Tausus vandens ir jūrų išteklių naudojimas ir apsauga</w:t>
            </w:r>
          </w:p>
        </w:tc>
        <w:tc>
          <w:tcPr>
            <w:tcW w:w="6257" w:type="dxa"/>
            <w:tcBorders>
              <w:top w:val="single" w:sz="4" w:space="0" w:color="auto"/>
              <w:left w:val="single" w:sz="4" w:space="0" w:color="auto"/>
              <w:bottom w:val="single" w:sz="4" w:space="0" w:color="auto"/>
              <w:right w:val="single" w:sz="4" w:space="0" w:color="auto"/>
            </w:tcBorders>
          </w:tcPr>
          <w:p w14:paraId="703FC699" w14:textId="77777777" w:rsidR="001F3D32" w:rsidRDefault="00BB2082">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šalia valstybinės reikšmės kelių“,</w:t>
            </w:r>
            <w:r>
              <w:rPr>
                <w:szCs w:val="24"/>
                <w:lang w:eastAsia="lt-LT"/>
              </w:rPr>
              <w:t xml:space="preserve"> bus vadovaujamasi Deleguotojo reglamento </w:t>
            </w:r>
            <w:hyperlink r:id="rId20" w:tgtFrame="_blank" w:history="1">
              <w:r>
                <w:rPr>
                  <w:color w:val="0563C1"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21" w:tgtFrame="_blank" w:history="1">
              <w:r>
                <w:rPr>
                  <w:bCs/>
                  <w:color w:val="0563C1" w:themeColor="hyperlink"/>
                  <w:szCs w:val="24"/>
                  <w:u w:val="single"/>
                  <w:lang w:eastAsia="lt-LT"/>
                </w:rPr>
                <w:t>(</w:t>
              </w:r>
              <w:r>
                <w:rPr>
                  <w:color w:val="0563C1" w:themeColor="hyperlink"/>
                  <w:szCs w:val="24"/>
                  <w:u w:val="single"/>
                  <w:lang w:eastAsia="lt-LT"/>
                </w:rPr>
                <w:t>ES) 2021/2139</w:t>
              </w:r>
            </w:hyperlink>
            <w:r>
              <w:rPr>
                <w:szCs w:val="24"/>
                <w:lang w:eastAsia="lt-LT"/>
              </w:rPr>
              <w:t xml:space="preserve"> I ir II priedo 6.13 punkte).</w:t>
            </w:r>
          </w:p>
          <w:p w14:paraId="59B2CFF2" w14:textId="77777777" w:rsidR="001F3D32" w:rsidRDefault="00BB2082">
            <w:pPr>
              <w:jc w:val="both"/>
              <w:rPr>
                <w:rFonts w:eastAsia="Calibri"/>
                <w:b/>
                <w:szCs w:val="24"/>
                <w:lang w:eastAsia="lt-LT"/>
              </w:rPr>
            </w:pPr>
            <w:r>
              <w:rPr>
                <w:bCs/>
                <w:szCs w:val="24"/>
                <w:lang w:eastAsia="lt-LT"/>
              </w:rPr>
              <w:t xml:space="preserve">Įgyvendinant </w:t>
            </w:r>
            <w:proofErr w:type="spellStart"/>
            <w:r>
              <w:rPr>
                <w:bCs/>
                <w:szCs w:val="24"/>
                <w:lang w:eastAsia="lt-LT"/>
              </w:rPr>
              <w:t>poveiklę</w:t>
            </w:r>
            <w:proofErr w:type="spellEnd"/>
            <w:r>
              <w:rPr>
                <w:bCs/>
                <w:szCs w:val="24"/>
                <w:lang w:eastAsia="lt-LT"/>
              </w:rPr>
              <w:t xml:space="preserve"> nenumatoma kurti jokia infrastruktūra, kuri galėtų turėti poveikį tausiam vandens ir jūrų išteklių naudojimui: veiksmai (veiklos) neturi jokio tiesioginio ar netiesioginio neigiamo poveikio šiam aplinkos tikslui.</w:t>
            </w:r>
          </w:p>
        </w:tc>
        <w:tc>
          <w:tcPr>
            <w:tcW w:w="5331" w:type="dxa"/>
            <w:tcBorders>
              <w:top w:val="single" w:sz="4" w:space="0" w:color="auto"/>
              <w:left w:val="single" w:sz="4" w:space="0" w:color="auto"/>
              <w:bottom w:val="single" w:sz="4" w:space="0" w:color="auto"/>
              <w:right w:val="single" w:sz="4" w:space="0" w:color="auto"/>
            </w:tcBorders>
          </w:tcPr>
          <w:p w14:paraId="3BE05433" w14:textId="77777777" w:rsidR="001F3D32" w:rsidRDefault="00BB2082">
            <w:pPr>
              <w:jc w:val="both"/>
              <w:rPr>
                <w:color w:val="000000"/>
                <w:szCs w:val="24"/>
                <w:lang w:eastAsia="lt-LT"/>
              </w:rPr>
            </w:pPr>
            <w:r>
              <w:rPr>
                <w:szCs w:val="24"/>
                <w:lang w:eastAsia="lt-LT"/>
              </w:rPr>
              <w:t xml:space="preserve">1. Pateikiama nuoroda į statybos projektą arba techninę specifikaciją </w:t>
            </w:r>
            <w:r>
              <w:rPr>
                <w:i/>
                <w:iCs/>
                <w:color w:val="000000"/>
                <w:szCs w:val="24"/>
                <w:lang w:eastAsia="lt-LT"/>
              </w:rPr>
              <w:t>(kai perkami rangos darbai kartu su projektavimo paslaugomis</w:t>
            </w:r>
            <w:r>
              <w:rPr>
                <w:color w:val="000000"/>
                <w:szCs w:val="24"/>
                <w:lang w:eastAsia="lt-LT"/>
              </w:rPr>
              <w:t>).</w:t>
            </w:r>
          </w:p>
          <w:p w14:paraId="280B07D7" w14:textId="77777777" w:rsidR="001F3D32" w:rsidRDefault="00BB2082">
            <w:pPr>
              <w:jc w:val="both"/>
              <w:rPr>
                <w:bCs/>
                <w:szCs w:val="24"/>
                <w:lang w:eastAsia="lt-LT"/>
              </w:rPr>
            </w:pPr>
            <w:r>
              <w:rPr>
                <w:bCs/>
                <w:szCs w:val="24"/>
                <w:lang w:eastAsia="lt-LT"/>
              </w:rPr>
              <w:t>2. Vadovaujantis Lietuvos Respublikos planuojamos ūkinės veiklos poveikio aplinkai vertinimo įstatymu, iki projekto įgyvendinimo plano (toliau – PĮP) pateikimo pareiškėjas turi būti atlikęs poveikio aplinkai vertinimą (toliau – PAV) ir turi būti pateikti atsakingos institucijos galiojantys dokumentai (jeigu taikoma).Su PĮP pateikiama PAV ataskaita ir atsakingos institucijos galiojantis teigiamas sprendimas dėl planuojamos ūkinės veiklos galimybių, arba  galiojanti atrankos išvada, kad PAV neprivalomas, kai pagal Planuojamos ūkinės veiklos poveikio aplinkai vertinimo įstatymo nuostatas turi būti atliktos planuojamos ūkinės veiklos PAV procedūros (jei taikoma), arba pateikiamas pagrindimas, kodėl nurodytos procedūros netaikomos.</w:t>
            </w:r>
          </w:p>
          <w:p w14:paraId="4A387861" w14:textId="77777777" w:rsidR="001F3D32" w:rsidRDefault="00BB2082">
            <w:pPr>
              <w:jc w:val="both"/>
              <w:rPr>
                <w:szCs w:val="24"/>
                <w:lang w:eastAsia="lt-LT"/>
              </w:rPr>
            </w:pPr>
            <w:r>
              <w:rPr>
                <w:rFonts w:eastAsia="Calibri"/>
                <w:bCs/>
                <w:szCs w:val="24"/>
                <w:lang w:eastAsia="lt-LT"/>
              </w:rPr>
              <w:t>3. K</w:t>
            </w:r>
            <w:r>
              <w:rPr>
                <w:color w:val="000000"/>
                <w:szCs w:val="24"/>
                <w:lang w:eastAsia="lt-LT"/>
              </w:rPr>
              <w:t>ai perkami rangos darbai kartu su projektavimo paslaugomis,</w:t>
            </w:r>
            <w:r>
              <w:rPr>
                <w:szCs w:val="24"/>
                <w:lang w:eastAsia="lt-LT"/>
              </w:rPr>
              <w:t xml:space="preserve"> pateikiamas statomos infrastruktūros ar įrenginių vietovės su vietovės žemėlapio kopijomis, įrodančiomis, kad neplanuojama statyti jokios </w:t>
            </w:r>
            <w:r>
              <w:rPr>
                <w:szCs w:val="24"/>
                <w:lang w:eastAsia="lt-LT"/>
              </w:rPr>
              <w:lastRenderedPageBreak/>
              <w:t>infrastruktūros ar įrenginių vandens telkinių apsaugos zonose, arti vandens telkinių, kur galėtų atsirasti neigiamas poveikis, pagrindimas.</w:t>
            </w:r>
          </w:p>
          <w:p w14:paraId="736F00B2" w14:textId="77777777" w:rsidR="001F3D32" w:rsidRDefault="00BB2082">
            <w:pPr>
              <w:tabs>
                <w:tab w:val="left" w:pos="459"/>
              </w:tabs>
              <w:jc w:val="both"/>
              <w:rPr>
                <w:rFonts w:eastAsia="Calibri"/>
                <w:bCs/>
                <w:i/>
                <w:iCs/>
                <w:sz w:val="20"/>
                <w:szCs w:val="24"/>
                <w:lang w:eastAsia="lt-LT"/>
              </w:rPr>
            </w:pPr>
            <w:r>
              <w:rPr>
                <w:rFonts w:eastAsia="Calibri"/>
                <w:bCs/>
                <w:szCs w:val="24"/>
                <w:lang w:eastAsia="lt-LT"/>
              </w:rPr>
              <w:t>4</w:t>
            </w:r>
            <w:r>
              <w:rPr>
                <w:szCs w:val="24"/>
                <w:lang w:eastAsia="lt-LT"/>
              </w:rPr>
              <w:t>. Kita aktuali informacija ir (ar) dokumentai.</w:t>
            </w:r>
          </w:p>
        </w:tc>
      </w:tr>
      <w:tr w:rsidR="001F3D32" w14:paraId="71D629F8" w14:textId="77777777">
        <w:tc>
          <w:tcPr>
            <w:tcW w:w="3261" w:type="dxa"/>
            <w:tcBorders>
              <w:top w:val="single" w:sz="4" w:space="0" w:color="auto"/>
              <w:left w:val="single" w:sz="4" w:space="0" w:color="auto"/>
              <w:bottom w:val="single" w:sz="4" w:space="0" w:color="auto"/>
              <w:right w:val="single" w:sz="4" w:space="0" w:color="auto"/>
            </w:tcBorders>
            <w:hideMark/>
          </w:tcPr>
          <w:p w14:paraId="6DE27973" w14:textId="77777777" w:rsidR="001F3D32" w:rsidRDefault="00BB2082">
            <w:pPr>
              <w:tabs>
                <w:tab w:val="left" w:pos="289"/>
              </w:tabs>
              <w:ind w:firstLine="5"/>
              <w:jc w:val="both"/>
              <w:rPr>
                <w:rFonts w:eastAsia="Calibri"/>
                <w:szCs w:val="24"/>
                <w:lang w:eastAsia="lt-LT"/>
              </w:rPr>
            </w:pPr>
            <w:r>
              <w:rPr>
                <w:rFonts w:eastAsia="Calibri"/>
                <w:szCs w:val="24"/>
                <w:lang w:eastAsia="lt-LT"/>
              </w:rPr>
              <w:lastRenderedPageBreak/>
              <w:t>4.</w:t>
            </w:r>
            <w:r>
              <w:rPr>
                <w:rFonts w:eastAsia="Calibri"/>
                <w:szCs w:val="24"/>
                <w:lang w:eastAsia="lt-LT"/>
              </w:rPr>
              <w:tab/>
              <w:t>Perėjimas prie žiedinės ekonomikos, įskaitant atliekų prevenciją ir perdirbimą</w:t>
            </w:r>
          </w:p>
        </w:tc>
        <w:tc>
          <w:tcPr>
            <w:tcW w:w="6257" w:type="dxa"/>
            <w:tcBorders>
              <w:top w:val="single" w:sz="4" w:space="0" w:color="auto"/>
              <w:left w:val="single" w:sz="4" w:space="0" w:color="auto"/>
              <w:bottom w:val="single" w:sz="4" w:space="0" w:color="auto"/>
              <w:right w:val="single" w:sz="4" w:space="0" w:color="auto"/>
            </w:tcBorders>
          </w:tcPr>
          <w:p w14:paraId="245A2212" w14:textId="77777777" w:rsidR="001F3D32" w:rsidRDefault="00BB2082">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šalia valstybinės reikšmės kelių“,</w:t>
            </w:r>
            <w:r>
              <w:rPr>
                <w:szCs w:val="24"/>
                <w:lang w:eastAsia="lt-LT"/>
              </w:rPr>
              <w:t xml:space="preserve"> bus vadovaujamasi Deleguotojo reglamento </w:t>
            </w:r>
            <w:hyperlink r:id="rId22" w:tgtFrame="_blank" w:history="1">
              <w:r>
                <w:rPr>
                  <w:color w:val="0563C1"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23" w:tgtFrame="_blank" w:history="1">
              <w:r>
                <w:rPr>
                  <w:bCs/>
                  <w:color w:val="0563C1" w:themeColor="hyperlink"/>
                  <w:szCs w:val="24"/>
                  <w:u w:val="single"/>
                  <w:lang w:eastAsia="lt-LT"/>
                </w:rPr>
                <w:t>(</w:t>
              </w:r>
              <w:r>
                <w:rPr>
                  <w:color w:val="0563C1" w:themeColor="hyperlink"/>
                  <w:szCs w:val="24"/>
                  <w:u w:val="single"/>
                  <w:lang w:eastAsia="lt-LT"/>
                </w:rPr>
                <w:t>ES) 2021/2139</w:t>
              </w:r>
            </w:hyperlink>
            <w:r>
              <w:rPr>
                <w:szCs w:val="24"/>
                <w:lang w:eastAsia="lt-LT"/>
              </w:rPr>
              <w:t xml:space="preserve"> I ir II priedo 6.13 punkte).</w:t>
            </w:r>
          </w:p>
          <w:p w14:paraId="30D9D898" w14:textId="77777777" w:rsidR="001F3D32" w:rsidRDefault="00BB2082">
            <w:pPr>
              <w:ind w:left="10"/>
              <w:jc w:val="both"/>
              <w:rPr>
                <w:szCs w:val="24"/>
              </w:rPr>
            </w:pPr>
            <w:r>
              <w:rPr>
                <w:szCs w:val="24"/>
              </w:rPr>
              <w:t>Planuojamos veiklos turės atitikti statybos techninių reglamentų bei kitų teisės aktų reikalavimus, bus užtikrinamas efektyvus atliekų surinkimas, skatinamas atskirų dalių pakartotinis naudojimas, statytojams bus numatyti reikalavimai riboti atliekų susidarymą statybos metu, taikyti naujausius metodus, pakartotinį medžiagų naudojimą ar perdirbimą, naudojantis pažangiomis statybinių atliekų rūšiavimo sistemomis. Todėl laikoma, kad veiklos atitinka žiedinės ekonomikos tikslą. Numatoma:</w:t>
            </w:r>
          </w:p>
          <w:p w14:paraId="305700B5" w14:textId="77777777" w:rsidR="001F3D32" w:rsidRDefault="00BB2082">
            <w:pPr>
              <w:ind w:firstLine="370"/>
              <w:jc w:val="both"/>
              <w:rPr>
                <w:szCs w:val="24"/>
              </w:rPr>
            </w:pPr>
            <w:r>
              <w:rPr>
                <w:rFonts w:ascii="Symbol" w:hAnsi="Symbol"/>
                <w:szCs w:val="24"/>
              </w:rPr>
              <w:t></w:t>
            </w:r>
            <w:r>
              <w:rPr>
                <w:rFonts w:ascii="Symbol" w:hAnsi="Symbol"/>
                <w:szCs w:val="24"/>
              </w:rPr>
              <w:tab/>
            </w:r>
            <w:r>
              <w:rPr>
                <w:szCs w:val="24"/>
              </w:rPr>
              <w:t>mažiausiai 70 proc. (pagal svorį) nepavojingų statybvietėje susidarančių atliekų (išskyrus natūraliai atsirandančias medžiagas, nurodytas Europos sąrašo 17 05 04 kategorijoje) (</w:t>
            </w:r>
            <w:r>
              <w:t>2000 m. gegužės 3 d</w:t>
            </w:r>
            <w:r>
              <w:rPr>
                <w:szCs w:val="24"/>
              </w:rPr>
              <w:t xml:space="preserve"> K</w:t>
            </w:r>
            <w:r>
              <w:t xml:space="preserve">omisijos sprendimas, </w:t>
            </w:r>
            <w:r>
              <w:br/>
              <w:t xml:space="preserve">keičiantis sprendimą </w:t>
            </w:r>
            <w:hyperlink r:id="rId24" w:tgtFrame="_blank" w:history="1">
              <w:r>
                <w:rPr>
                  <w:color w:val="0563C1" w:themeColor="hyperlink"/>
                  <w:u w:val="single"/>
                </w:rPr>
                <w:t>94/3/EB</w:t>
              </w:r>
            </w:hyperlink>
            <w:r>
              <w:t xml:space="preserve">, nustatantį atliekų sąrašą pagal Tarybos direktyvos </w:t>
            </w:r>
            <w:hyperlink r:id="rId25" w:tgtFrame="_blank" w:history="1">
              <w:r>
                <w:rPr>
                  <w:color w:val="0563C1" w:themeColor="hyperlink"/>
                  <w:u w:val="single"/>
                </w:rPr>
                <w:t>75/442/EEB</w:t>
              </w:r>
            </w:hyperlink>
            <w:r>
              <w:t xml:space="preserve"> dėl atliekų</w:t>
            </w:r>
            <w:r>
              <w:br/>
              <w:t xml:space="preserve">1 straipsnio a dalį, ir Tarybos sprendimą </w:t>
            </w:r>
            <w:hyperlink r:id="rId26" w:tgtFrame="_blank" w:history="1">
              <w:r>
                <w:rPr>
                  <w:color w:val="0563C1" w:themeColor="hyperlink"/>
                  <w:u w:val="single"/>
                </w:rPr>
                <w:t>94/904/EB</w:t>
              </w:r>
            </w:hyperlink>
            <w:r>
              <w:t>, nustatantį pavojingų atliekų sąrašą pagal Tarybos</w:t>
            </w:r>
            <w:r>
              <w:br/>
              <w:t xml:space="preserve">direktyvos </w:t>
            </w:r>
            <w:hyperlink r:id="rId27" w:tgtFrame="_blank" w:history="1">
              <w:r>
                <w:rPr>
                  <w:color w:val="0563C1" w:themeColor="hyperlink"/>
                  <w:u w:val="single"/>
                </w:rPr>
                <w:t>91/689/EEB</w:t>
              </w:r>
            </w:hyperlink>
            <w:r>
              <w:t xml:space="preserve"> dėl pavojingų medžiagų 1 straipsnio 4 dalį</w:t>
            </w:r>
            <w:r>
              <w:rPr>
                <w:szCs w:val="24"/>
              </w:rPr>
              <w:t xml:space="preserve">) turėtų būti parengtos pakartotiniam naudojimui, perdirbimui ir kitoms medžiagų panaudojimo galimybėms, </w:t>
            </w:r>
            <w:r>
              <w:rPr>
                <w:szCs w:val="24"/>
              </w:rPr>
              <w:lastRenderedPageBreak/>
              <w:t xml:space="preserve">įskaitant užpildymo operacijas, naudojant atliekas kitoms medžiagoms pakeisti, laikantis atliekų hierarchijos ir ES statybos ir griovimo atliekų tvarkymo protokolo; </w:t>
            </w:r>
          </w:p>
          <w:p w14:paraId="14C2F028" w14:textId="77777777" w:rsidR="001F3D32" w:rsidRDefault="00BB2082">
            <w:pPr>
              <w:ind w:firstLine="370"/>
              <w:jc w:val="both"/>
              <w:rPr>
                <w:szCs w:val="24"/>
              </w:rPr>
            </w:pPr>
            <w:r>
              <w:rPr>
                <w:rFonts w:ascii="Symbol" w:hAnsi="Symbol"/>
                <w:szCs w:val="24"/>
              </w:rPr>
              <w:t></w:t>
            </w:r>
            <w:r>
              <w:rPr>
                <w:rFonts w:ascii="Symbol" w:hAnsi="Symbol"/>
                <w:szCs w:val="24"/>
              </w:rPr>
              <w:tab/>
            </w:r>
            <w:r>
              <w:rPr>
                <w:szCs w:val="24"/>
              </w:rPr>
              <w:t>rangovai turėtų riboti atliekų susidarymą procesuose, susijusiuose su statyba ir griovimu, laikydamiesi ES statybos ir griovimo atliekų tvarkymo protokolo ir atsižvelgdami į geriausius prieinamus metodus ir naudodami selektyvų griovimą, kad būtų galima pašalinti ir saugiai tvarkyti pavojingas medžiagas ir palengvinti pakartotinį perdirbimą;</w:t>
            </w:r>
          </w:p>
          <w:p w14:paraId="1583DE30" w14:textId="77777777" w:rsidR="001F3D32" w:rsidRDefault="00BB2082">
            <w:pPr>
              <w:ind w:firstLine="370"/>
              <w:jc w:val="both"/>
              <w:rPr>
                <w:szCs w:val="24"/>
              </w:rPr>
            </w:pPr>
            <w:r>
              <w:rPr>
                <w:rFonts w:ascii="Symbol" w:hAnsi="Symbol"/>
                <w:szCs w:val="24"/>
              </w:rPr>
              <w:t></w:t>
            </w:r>
            <w:r>
              <w:rPr>
                <w:rFonts w:ascii="Symbol" w:hAnsi="Symbol"/>
                <w:szCs w:val="24"/>
              </w:rPr>
              <w:tab/>
            </w:r>
            <w:r>
              <w:rPr>
                <w:szCs w:val="24"/>
              </w:rPr>
              <w:t xml:space="preserve">naudoti ir kokybiškai perdirbti turimas statybinių ir griovimo atliekų rūšiavimo sistemas. </w:t>
            </w:r>
          </w:p>
          <w:p w14:paraId="7EEF9EFE" w14:textId="77777777" w:rsidR="001F3D32" w:rsidRDefault="00BB2082">
            <w:pPr>
              <w:ind w:left="10"/>
              <w:jc w:val="both"/>
              <w:rPr>
                <w:szCs w:val="24"/>
              </w:rPr>
            </w:pPr>
            <w:r>
              <w:rPr>
                <w:szCs w:val="24"/>
              </w:rPr>
              <w:t>Įgyvendinant veiklas bus užtikrintas 2008 m. lapkričio 19 d. Europos Parlamento ir Tarybos direktyvo</w:t>
            </w:r>
            <w:r>
              <w:t>s</w:t>
            </w:r>
            <w:r>
              <w:rPr>
                <w:szCs w:val="24"/>
              </w:rPr>
              <w:t xml:space="preserve"> </w:t>
            </w:r>
            <w:hyperlink r:id="rId28" w:tgtFrame="_blank" w:history="1">
              <w:r>
                <w:rPr>
                  <w:color w:val="0563C1" w:themeColor="hyperlink"/>
                  <w:szCs w:val="24"/>
                  <w:u w:val="single"/>
                </w:rPr>
                <w:t>2008/98/EB</w:t>
              </w:r>
            </w:hyperlink>
            <w:r>
              <w:rPr>
                <w:szCs w:val="24"/>
              </w:rPr>
              <w:t xml:space="preserve"> dėl atliekų ir panaikinančios kai kurias direktyvas reikalavimų laikymasis, įpareigojant jų laikytis projektų vykdytojus.</w:t>
            </w:r>
          </w:p>
          <w:p w14:paraId="49B36205" w14:textId="77777777" w:rsidR="001F3D32" w:rsidRDefault="00BB2082">
            <w:pPr>
              <w:ind w:left="10"/>
              <w:jc w:val="both"/>
              <w:rPr>
                <w:rFonts w:eastAsia="Calibri"/>
                <w:bCs/>
                <w:szCs w:val="24"/>
              </w:rPr>
            </w:pPr>
            <w:r>
              <w:rPr>
                <w:szCs w:val="24"/>
              </w:rPr>
              <w:t>Įgyvendinant veiklas bus numatytas projektų vykdytojų ir (ar) tarpininkų įsipareigojimas laikytis Europos Komisijos tvarumo tikrinimo gairių, priimtų siekiant užtikrinti „</w:t>
            </w:r>
            <w:proofErr w:type="spellStart"/>
            <w:r>
              <w:rPr>
                <w:szCs w:val="24"/>
              </w:rPr>
              <w:t>InvestEU</w:t>
            </w:r>
            <w:proofErr w:type="spellEnd"/>
            <w:r>
              <w:rPr>
                <w:szCs w:val="24"/>
              </w:rPr>
              <w:t>“ fondo tvarumą, reikalavimų.</w:t>
            </w:r>
          </w:p>
        </w:tc>
        <w:tc>
          <w:tcPr>
            <w:tcW w:w="5331" w:type="dxa"/>
            <w:tcBorders>
              <w:top w:val="single" w:sz="4" w:space="0" w:color="auto"/>
              <w:left w:val="single" w:sz="4" w:space="0" w:color="auto"/>
              <w:bottom w:val="single" w:sz="4" w:space="0" w:color="auto"/>
              <w:right w:val="single" w:sz="4" w:space="0" w:color="auto"/>
            </w:tcBorders>
          </w:tcPr>
          <w:p w14:paraId="01C43B74" w14:textId="77777777" w:rsidR="001F3D32" w:rsidRDefault="00BB2082">
            <w:pPr>
              <w:tabs>
                <w:tab w:val="left" w:pos="556"/>
              </w:tabs>
              <w:jc w:val="both"/>
              <w:rPr>
                <w:szCs w:val="24"/>
                <w:lang w:eastAsia="lt-LT"/>
              </w:rPr>
            </w:pPr>
            <w:r>
              <w:rPr>
                <w:szCs w:val="24"/>
                <w:lang w:eastAsia="lt-LT"/>
              </w:rPr>
              <w:lastRenderedPageBreak/>
              <w:t xml:space="preserve">1. Pateikiama nuoroda į statybos projektą arba techninę specifikaciją </w:t>
            </w:r>
            <w:r>
              <w:rPr>
                <w:i/>
                <w:iCs/>
                <w:color w:val="000000"/>
                <w:szCs w:val="24"/>
                <w:lang w:eastAsia="lt-LT"/>
              </w:rPr>
              <w:t>(kai perkami rangos darbai kartu su projektavimo paslaugomis</w:t>
            </w:r>
            <w:r>
              <w:rPr>
                <w:color w:val="000000"/>
                <w:szCs w:val="24"/>
                <w:lang w:eastAsia="lt-LT"/>
              </w:rPr>
              <w:t xml:space="preserve">), </w:t>
            </w:r>
            <w:r>
              <w:rPr>
                <w:szCs w:val="24"/>
                <w:lang w:eastAsia="lt-LT"/>
              </w:rPr>
              <w:t>kuriuose numatyti reikalavimai dėl atliekų susidarymo, vadovaujantis Statybinių atliekų tvarkymo taisyklėmis, patvirtintomis Lietuvos Respublikos aplinkos ministro 2006 m. gruodžio 29 d. įsakymu Nr. D1-637 „Dėl Statybinių atliekų tvarkymo taisyklių patvirtinimo“, kurios aiškiai apibrėžia atliekų rūšiavimą statybvietėje.</w:t>
            </w:r>
          </w:p>
          <w:p w14:paraId="60297840" w14:textId="77777777" w:rsidR="001F3D32" w:rsidRDefault="00BB2082">
            <w:pPr>
              <w:tabs>
                <w:tab w:val="left" w:pos="301"/>
              </w:tabs>
              <w:ind w:left="42"/>
              <w:jc w:val="both"/>
              <w:rPr>
                <w:rFonts w:eastAsia="Calibri"/>
                <w:szCs w:val="24"/>
              </w:rPr>
            </w:pPr>
            <w:r>
              <w:rPr>
                <w:rFonts w:eastAsia="Calibri"/>
                <w:szCs w:val="24"/>
              </w:rPr>
              <w:t>2. Statybvietėje pildomas atliekų apskaitos žurnalas, tvarkoma susidariusių ir perduotų tvarkyti statybinių atliekų apskaita, nurodomas jų kiekis, rengiamos atliekų apskaitos ataskaitos.</w:t>
            </w:r>
          </w:p>
          <w:p w14:paraId="31F7286A" w14:textId="77777777" w:rsidR="001F3D32" w:rsidRDefault="00BB2082">
            <w:pPr>
              <w:tabs>
                <w:tab w:val="left" w:pos="299"/>
              </w:tabs>
              <w:ind w:left="16"/>
              <w:jc w:val="both"/>
              <w:rPr>
                <w:rFonts w:eastAsia="Calibri"/>
                <w:i/>
                <w:iCs/>
                <w:szCs w:val="24"/>
              </w:rPr>
            </w:pPr>
            <w:r>
              <w:rPr>
                <w:szCs w:val="24"/>
              </w:rPr>
              <w:t>3. Kita aktuali informacija ir (ar) dokumentai.</w:t>
            </w:r>
          </w:p>
        </w:tc>
      </w:tr>
      <w:tr w:rsidR="001F3D32" w14:paraId="2313F7E8" w14:textId="77777777">
        <w:tc>
          <w:tcPr>
            <w:tcW w:w="3261" w:type="dxa"/>
            <w:tcBorders>
              <w:top w:val="single" w:sz="4" w:space="0" w:color="auto"/>
              <w:left w:val="single" w:sz="4" w:space="0" w:color="auto"/>
              <w:bottom w:val="single" w:sz="4" w:space="0" w:color="auto"/>
              <w:right w:val="single" w:sz="4" w:space="0" w:color="auto"/>
            </w:tcBorders>
            <w:hideMark/>
          </w:tcPr>
          <w:p w14:paraId="40150987" w14:textId="77777777" w:rsidR="001F3D32" w:rsidRDefault="00BB2082">
            <w:pPr>
              <w:tabs>
                <w:tab w:val="left" w:pos="289"/>
              </w:tabs>
              <w:ind w:firstLine="5"/>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bCs/>
                <w:szCs w:val="24"/>
                <w:lang w:eastAsia="lt-LT"/>
              </w:rPr>
              <w:t>Oro, vandens ar žemės taršos prevencija ir kontrolė</w:t>
            </w:r>
          </w:p>
        </w:tc>
        <w:tc>
          <w:tcPr>
            <w:tcW w:w="6257" w:type="dxa"/>
            <w:tcBorders>
              <w:top w:val="single" w:sz="4" w:space="0" w:color="auto"/>
              <w:left w:val="single" w:sz="4" w:space="0" w:color="auto"/>
              <w:bottom w:val="single" w:sz="4" w:space="0" w:color="auto"/>
              <w:right w:val="single" w:sz="4" w:space="0" w:color="auto"/>
            </w:tcBorders>
          </w:tcPr>
          <w:p w14:paraId="021B5265" w14:textId="77777777" w:rsidR="001F3D32" w:rsidRDefault="00BB2082">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šalia valstybinės reikšmės kelių“,</w:t>
            </w:r>
            <w:r>
              <w:rPr>
                <w:szCs w:val="24"/>
                <w:lang w:eastAsia="lt-LT"/>
              </w:rPr>
              <w:t xml:space="preserve"> bus vadovaujamasi Deleguotojo reglamento </w:t>
            </w:r>
            <w:hyperlink r:id="rId29" w:tgtFrame="_blank" w:history="1">
              <w:r>
                <w:rPr>
                  <w:color w:val="0563C1"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30" w:tgtFrame="_blank" w:history="1">
              <w:r>
                <w:rPr>
                  <w:bCs/>
                  <w:color w:val="0563C1" w:themeColor="hyperlink"/>
                  <w:szCs w:val="24"/>
                  <w:u w:val="single"/>
                  <w:lang w:eastAsia="lt-LT"/>
                </w:rPr>
                <w:t>(</w:t>
              </w:r>
              <w:r>
                <w:rPr>
                  <w:color w:val="0563C1" w:themeColor="hyperlink"/>
                  <w:szCs w:val="24"/>
                  <w:u w:val="single"/>
                  <w:lang w:eastAsia="lt-LT"/>
                </w:rPr>
                <w:t>ES) 2021/2139</w:t>
              </w:r>
            </w:hyperlink>
            <w:r>
              <w:rPr>
                <w:szCs w:val="24"/>
                <w:lang w:eastAsia="lt-LT"/>
              </w:rPr>
              <w:t xml:space="preserve"> I ir II priedo 6.13 punkte).</w:t>
            </w:r>
          </w:p>
          <w:p w14:paraId="6D3491B4" w14:textId="77777777" w:rsidR="001F3D32" w:rsidRDefault="00BB2082">
            <w:pPr>
              <w:jc w:val="both"/>
              <w:rPr>
                <w:szCs w:val="24"/>
                <w:lang w:eastAsia="lt-LT"/>
              </w:rPr>
            </w:pPr>
            <w:proofErr w:type="spellStart"/>
            <w:r>
              <w:rPr>
                <w:bCs/>
                <w:szCs w:val="24"/>
                <w:lang w:eastAsia="lt-LT"/>
              </w:rPr>
              <w:t>Poveiklė</w:t>
            </w:r>
            <w:proofErr w:type="spellEnd"/>
            <w:r>
              <w:rPr>
                <w:bCs/>
                <w:szCs w:val="24"/>
                <w:lang w:eastAsia="lt-LT"/>
              </w:rPr>
              <w:t xml:space="preserve"> neturės jokio neigiamo tiesioginio ar netiesioginio poveikio šiam aplinkos tikslui, nes plėtojant </w:t>
            </w:r>
            <w:proofErr w:type="spellStart"/>
            <w:r>
              <w:rPr>
                <w:bCs/>
                <w:szCs w:val="24"/>
                <w:lang w:eastAsia="lt-LT"/>
              </w:rPr>
              <w:t>bevariklio</w:t>
            </w:r>
            <w:proofErr w:type="spellEnd"/>
            <w:r>
              <w:rPr>
                <w:bCs/>
                <w:szCs w:val="24"/>
                <w:lang w:eastAsia="lt-LT"/>
              </w:rPr>
              <w:t xml:space="preserve"> transporto ir pėsčiųjų infrastruktūrą, sudaromos sąlygos vietoj motorinių transporto priemonių rinktis bemotores transporto priemones arba judėjimą pėsčiomis. </w:t>
            </w:r>
          </w:p>
          <w:p w14:paraId="14C69C42" w14:textId="77777777" w:rsidR="001F3D32" w:rsidRDefault="00BB2082">
            <w:pPr>
              <w:ind w:firstLine="62"/>
              <w:jc w:val="both"/>
              <w:rPr>
                <w:szCs w:val="24"/>
                <w:lang w:eastAsia="lt-LT"/>
              </w:rPr>
            </w:pPr>
            <w:r>
              <w:rPr>
                <w:szCs w:val="24"/>
                <w:lang w:eastAsia="lt-LT"/>
              </w:rPr>
              <w:lastRenderedPageBreak/>
              <w:t xml:space="preserve">Įgyvendinant </w:t>
            </w:r>
            <w:proofErr w:type="spellStart"/>
            <w:r>
              <w:rPr>
                <w:szCs w:val="24"/>
                <w:lang w:eastAsia="lt-LT"/>
              </w:rPr>
              <w:t>poveiklę</w:t>
            </w:r>
            <w:proofErr w:type="spellEnd"/>
            <w:r>
              <w:rPr>
                <w:szCs w:val="24"/>
                <w:lang w:eastAsia="lt-LT"/>
              </w:rPr>
              <w:t xml:space="preserve"> bus numatytas projektų vykdytojų ir (ar) tarpininkų įsipareigojimas laikytis Europos Komisijos tvarumo tikrinimo gairių, priimtų siekiant užtikrinti „</w:t>
            </w:r>
            <w:proofErr w:type="spellStart"/>
            <w:r>
              <w:rPr>
                <w:szCs w:val="24"/>
                <w:lang w:eastAsia="lt-LT"/>
              </w:rPr>
              <w:t>InvestEU</w:t>
            </w:r>
            <w:proofErr w:type="spellEnd"/>
            <w:r>
              <w:rPr>
                <w:szCs w:val="24"/>
                <w:lang w:eastAsia="lt-LT"/>
              </w:rPr>
              <w:t>“ fondo tvarumą, reikalavimų.</w:t>
            </w:r>
          </w:p>
          <w:p w14:paraId="22654FBE" w14:textId="77777777" w:rsidR="001F3D32" w:rsidRDefault="00BB2082">
            <w:pPr>
              <w:jc w:val="both"/>
              <w:rPr>
                <w:szCs w:val="24"/>
                <w:lang w:eastAsia="lt-LT"/>
              </w:rPr>
            </w:pPr>
            <w:r>
              <w:rPr>
                <w:szCs w:val="24"/>
                <w:lang w:eastAsia="lt-LT"/>
              </w:rPr>
              <w:t xml:space="preserve">Nenumatoma, kad įgyvendinant veiksmus padidės teršalų išmetimas į orą, vandenį ar žemę, kadangi: </w:t>
            </w:r>
          </w:p>
          <w:p w14:paraId="23B0F59B" w14:textId="77777777" w:rsidR="001F3D32" w:rsidRDefault="00BB2082">
            <w:pPr>
              <w:ind w:left="30" w:firstLine="425"/>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 xml:space="preserve">statybose naudojamose statybinėse dalyse ir medžiagose nėra asbesto ir labai didelį susirūpinimą keliančių medžiagų, nustatytų remiantis medžiagų, kurioms reikalingas leidimas, sąrašu, nurodytu 2006 m. gruodžio 18 d. Europos Parlamento ir Tarybos reglamento </w:t>
            </w:r>
            <w:hyperlink r:id="rId31" w:tgtFrame="_blank" w:history="1">
              <w:r>
                <w:rPr>
                  <w:color w:val="0563C1" w:themeColor="hyperlink"/>
                  <w:szCs w:val="24"/>
                  <w:u w:val="single"/>
                  <w:lang w:eastAsia="lt-LT"/>
                </w:rPr>
                <w:t>(EB) Nr. 1907/2006</w:t>
              </w:r>
            </w:hyperlink>
            <w:r>
              <w:rPr>
                <w:szCs w:val="24"/>
                <w:lang w:eastAsia="lt-LT"/>
              </w:rPr>
              <w:t xml:space="preserve"> dėl cheminių medžiagų registracijos, įvertinimo, autorizacijos ir apribojimų (REACH), įsteigiančio Europos cheminių medžiagų agentūrą, iš dalies keičiančio Direktyvą </w:t>
            </w:r>
            <w:hyperlink r:id="rId32" w:tgtFrame="_blank" w:history="1">
              <w:r>
                <w:rPr>
                  <w:color w:val="0563C1" w:themeColor="hyperlink"/>
                  <w:szCs w:val="24"/>
                  <w:u w:val="single"/>
                  <w:lang w:eastAsia="lt-LT"/>
                </w:rPr>
                <w:t>1999/45/EB</w:t>
              </w:r>
            </w:hyperlink>
            <w:r>
              <w:rPr>
                <w:szCs w:val="24"/>
                <w:lang w:eastAsia="lt-LT"/>
              </w:rPr>
              <w:t xml:space="preserve"> bei panaikinančio Tarybos reglamentą </w:t>
            </w:r>
            <w:hyperlink r:id="rId33" w:tgtFrame="_blank" w:history="1">
              <w:r>
                <w:rPr>
                  <w:color w:val="0563C1" w:themeColor="hyperlink"/>
                  <w:szCs w:val="24"/>
                  <w:u w:val="single"/>
                  <w:lang w:eastAsia="lt-LT"/>
                </w:rPr>
                <w:t>(EEB) Nr. 793/93</w:t>
              </w:r>
            </w:hyperlink>
            <w:r>
              <w:rPr>
                <w:szCs w:val="24"/>
                <w:lang w:eastAsia="lt-LT"/>
              </w:rPr>
              <w:t xml:space="preserve">, Komisijos reglamentą </w:t>
            </w:r>
            <w:hyperlink r:id="rId34" w:tgtFrame="_blank" w:history="1">
              <w:r>
                <w:rPr>
                  <w:color w:val="0563C1" w:themeColor="hyperlink"/>
                  <w:szCs w:val="24"/>
                  <w:u w:val="single"/>
                  <w:lang w:eastAsia="lt-LT"/>
                </w:rPr>
                <w:t>(EB) Nr. 1488/94</w:t>
              </w:r>
            </w:hyperlink>
            <w:r>
              <w:rPr>
                <w:szCs w:val="24"/>
                <w:lang w:eastAsia="lt-LT"/>
              </w:rPr>
              <w:t xml:space="preserve">, Tarybos direktyvą </w:t>
            </w:r>
            <w:hyperlink r:id="rId35" w:tgtFrame="_blank" w:history="1">
              <w:r>
                <w:rPr>
                  <w:color w:val="0563C1" w:themeColor="hyperlink"/>
                  <w:szCs w:val="24"/>
                  <w:u w:val="single"/>
                  <w:lang w:eastAsia="lt-LT"/>
                </w:rPr>
                <w:t>76/769/EEB</w:t>
              </w:r>
            </w:hyperlink>
            <w:r>
              <w:rPr>
                <w:szCs w:val="24"/>
                <w:lang w:eastAsia="lt-LT"/>
              </w:rPr>
              <w:t xml:space="preserve"> ir Komisijos direktyvas </w:t>
            </w:r>
            <w:hyperlink r:id="rId36" w:tgtFrame="_blank" w:history="1">
              <w:r>
                <w:rPr>
                  <w:color w:val="0563C1" w:themeColor="hyperlink"/>
                  <w:szCs w:val="24"/>
                  <w:u w:val="single"/>
                  <w:lang w:eastAsia="lt-LT"/>
                </w:rPr>
                <w:t>91/155/EEB</w:t>
              </w:r>
            </w:hyperlink>
            <w:r>
              <w:rPr>
                <w:szCs w:val="24"/>
                <w:lang w:eastAsia="lt-LT"/>
              </w:rPr>
              <w:t xml:space="preserve">, </w:t>
            </w:r>
            <w:hyperlink r:id="rId37" w:tgtFrame="_blank" w:history="1">
              <w:r>
                <w:rPr>
                  <w:color w:val="0563C1" w:themeColor="hyperlink"/>
                  <w:szCs w:val="24"/>
                  <w:u w:val="single"/>
                  <w:lang w:eastAsia="lt-LT"/>
                </w:rPr>
                <w:t>93/67/EEB</w:t>
              </w:r>
            </w:hyperlink>
            <w:r>
              <w:rPr>
                <w:szCs w:val="24"/>
                <w:lang w:eastAsia="lt-LT"/>
              </w:rPr>
              <w:t xml:space="preserve">, </w:t>
            </w:r>
            <w:hyperlink r:id="rId38" w:tgtFrame="_blank" w:history="1">
              <w:r>
                <w:rPr>
                  <w:color w:val="0563C1" w:themeColor="hyperlink"/>
                  <w:szCs w:val="24"/>
                  <w:u w:val="single"/>
                  <w:lang w:eastAsia="lt-LT"/>
                </w:rPr>
                <w:t>93/105/EB</w:t>
              </w:r>
            </w:hyperlink>
            <w:r>
              <w:rPr>
                <w:szCs w:val="24"/>
                <w:lang w:eastAsia="lt-LT"/>
              </w:rPr>
              <w:t xml:space="preserve"> bei </w:t>
            </w:r>
            <w:hyperlink r:id="rId39" w:tgtFrame="_blank" w:history="1">
              <w:r>
                <w:rPr>
                  <w:color w:val="0563C1" w:themeColor="hyperlink"/>
                  <w:szCs w:val="24"/>
                  <w:u w:val="single"/>
                  <w:lang w:eastAsia="lt-LT"/>
                </w:rPr>
                <w:t>2000/21/EB</w:t>
              </w:r>
            </w:hyperlink>
            <w:r>
              <w:rPr>
                <w:szCs w:val="24"/>
                <w:lang w:eastAsia="lt-LT"/>
              </w:rPr>
              <w:t xml:space="preserve">, XIV priede; </w:t>
            </w:r>
          </w:p>
          <w:p w14:paraId="56CAFD05" w14:textId="77777777" w:rsidR="001F3D32" w:rsidRDefault="00BB2082">
            <w:pPr>
              <w:ind w:left="30" w:firstLine="425"/>
              <w:jc w:val="both"/>
              <w:rPr>
                <w:szCs w:val="24"/>
                <w:lang w:eastAsia="lt-LT"/>
              </w:rPr>
            </w:pPr>
            <w:r>
              <w:rPr>
                <w:rFonts w:ascii="Symbol" w:hAnsi="Symbol"/>
                <w:szCs w:val="24"/>
                <w:lang w:eastAsia="lt-LT"/>
              </w:rPr>
              <w:t></w:t>
            </w:r>
            <w:r>
              <w:rPr>
                <w:rFonts w:ascii="Symbol" w:hAnsi="Symbol"/>
                <w:szCs w:val="24"/>
                <w:lang w:eastAsia="lt-LT"/>
              </w:rPr>
              <w:tab/>
            </w:r>
            <w:r>
              <w:rPr>
                <w:szCs w:val="24"/>
                <w:lang w:eastAsia="lt-LT"/>
              </w:rPr>
              <w:t>imamasi priemonių sumažinti triukšmą, dulkes ir teršalus atliekant statybos ar priežiūros darbus.</w:t>
            </w:r>
          </w:p>
        </w:tc>
        <w:tc>
          <w:tcPr>
            <w:tcW w:w="5331" w:type="dxa"/>
            <w:tcBorders>
              <w:top w:val="single" w:sz="4" w:space="0" w:color="auto"/>
              <w:left w:val="single" w:sz="4" w:space="0" w:color="auto"/>
              <w:bottom w:val="single" w:sz="4" w:space="0" w:color="auto"/>
              <w:right w:val="single" w:sz="4" w:space="0" w:color="auto"/>
            </w:tcBorders>
          </w:tcPr>
          <w:p w14:paraId="44598E1F" w14:textId="77777777" w:rsidR="001F3D32" w:rsidRDefault="00BB2082">
            <w:pPr>
              <w:tabs>
                <w:tab w:val="left" w:pos="460"/>
              </w:tabs>
              <w:ind w:left="35"/>
              <w:jc w:val="both"/>
              <w:rPr>
                <w:szCs w:val="24"/>
                <w:lang w:eastAsia="lt-LT"/>
              </w:rPr>
            </w:pPr>
            <w:r>
              <w:rPr>
                <w:szCs w:val="24"/>
                <w:lang w:eastAsia="lt-LT"/>
              </w:rPr>
              <w:lastRenderedPageBreak/>
              <w:t xml:space="preserve">1. Pateikiama nuoroda į statybos projektą arba techninę specifikaciją </w:t>
            </w:r>
            <w:r>
              <w:rPr>
                <w:i/>
                <w:iCs/>
                <w:color w:val="000000"/>
                <w:szCs w:val="24"/>
                <w:lang w:eastAsia="lt-LT"/>
              </w:rPr>
              <w:t>(kai perkami rangos darbai kartu su projektavimo paslaugomis)</w:t>
            </w:r>
            <w:r>
              <w:rPr>
                <w:color w:val="000000"/>
                <w:szCs w:val="24"/>
                <w:lang w:eastAsia="lt-LT"/>
              </w:rPr>
              <w:t xml:space="preserve">, </w:t>
            </w:r>
            <w:r>
              <w:rPr>
                <w:szCs w:val="24"/>
                <w:lang w:eastAsia="lt-LT"/>
              </w:rPr>
              <w:t>kuriuose patvirtinama, kad projekto įgyvendinimo metu statybose naudojamose medžiagose nebus naudojama asbesto ir labai didelį susirūpinimą keliančių medžiagų.</w:t>
            </w:r>
          </w:p>
          <w:p w14:paraId="3AAE04EB" w14:textId="77777777" w:rsidR="001F3D32" w:rsidRDefault="00BB2082">
            <w:pPr>
              <w:jc w:val="both"/>
              <w:rPr>
                <w:rFonts w:eastAsia="Calibri"/>
                <w:szCs w:val="24"/>
                <w:lang w:eastAsia="lt-LT"/>
              </w:rPr>
            </w:pPr>
            <w:r>
              <w:rPr>
                <w:rFonts w:eastAsia="Calibri"/>
                <w:szCs w:val="24"/>
                <w:lang w:eastAsia="lt-LT"/>
              </w:rPr>
              <w:t>2. Kita aktuali informacija ir (ar) dokumentai.</w:t>
            </w:r>
          </w:p>
          <w:p w14:paraId="40FF740D" w14:textId="77777777" w:rsidR="001F3D32" w:rsidRDefault="001F3D32">
            <w:pPr>
              <w:tabs>
                <w:tab w:val="left" w:pos="473"/>
              </w:tabs>
              <w:jc w:val="both"/>
              <w:rPr>
                <w:rFonts w:eastAsia="Calibri"/>
                <w:szCs w:val="24"/>
                <w:lang w:eastAsia="lt-LT"/>
              </w:rPr>
            </w:pPr>
          </w:p>
        </w:tc>
      </w:tr>
      <w:tr w:rsidR="001F3D32" w14:paraId="362E872D" w14:textId="77777777">
        <w:tc>
          <w:tcPr>
            <w:tcW w:w="3261" w:type="dxa"/>
            <w:tcBorders>
              <w:top w:val="single" w:sz="4" w:space="0" w:color="auto"/>
              <w:left w:val="single" w:sz="4" w:space="0" w:color="auto"/>
              <w:bottom w:val="single" w:sz="4" w:space="0" w:color="auto"/>
              <w:right w:val="single" w:sz="4" w:space="0" w:color="auto"/>
            </w:tcBorders>
            <w:hideMark/>
          </w:tcPr>
          <w:p w14:paraId="501A494F" w14:textId="77777777" w:rsidR="001F3D32" w:rsidRDefault="00BB2082">
            <w:pPr>
              <w:tabs>
                <w:tab w:val="left" w:pos="289"/>
              </w:tabs>
              <w:ind w:left="5" w:firstLine="5"/>
              <w:jc w:val="both"/>
              <w:rPr>
                <w:rFonts w:eastAsia="Calibri"/>
                <w:szCs w:val="24"/>
                <w:lang w:eastAsia="lt-LT"/>
              </w:rPr>
            </w:pPr>
            <w:r>
              <w:rPr>
                <w:rFonts w:eastAsia="Calibri"/>
                <w:szCs w:val="24"/>
                <w:lang w:eastAsia="lt-LT"/>
              </w:rPr>
              <w:t>6.</w:t>
            </w:r>
            <w:r>
              <w:rPr>
                <w:rFonts w:eastAsia="Calibri"/>
                <w:szCs w:val="24"/>
                <w:lang w:eastAsia="lt-LT"/>
              </w:rPr>
              <w:tab/>
              <w:t>Biologinės įvairovės ir ekosistemų apsauga ir atkūrimas</w:t>
            </w:r>
          </w:p>
        </w:tc>
        <w:tc>
          <w:tcPr>
            <w:tcW w:w="6257" w:type="dxa"/>
            <w:tcBorders>
              <w:top w:val="single" w:sz="4" w:space="0" w:color="auto"/>
              <w:left w:val="single" w:sz="4" w:space="0" w:color="auto"/>
              <w:bottom w:val="single" w:sz="4" w:space="0" w:color="auto"/>
              <w:right w:val="single" w:sz="4" w:space="0" w:color="auto"/>
            </w:tcBorders>
          </w:tcPr>
          <w:p w14:paraId="1B7B4739" w14:textId="77777777" w:rsidR="001F3D32" w:rsidRDefault="00BB2082">
            <w:pPr>
              <w:jc w:val="both"/>
              <w:rPr>
                <w:szCs w:val="24"/>
                <w:lang w:eastAsia="lt-LT"/>
              </w:rPr>
            </w:pPr>
            <w:r>
              <w:rPr>
                <w:szCs w:val="24"/>
                <w:lang w:eastAsia="lt-LT"/>
              </w:rPr>
              <w:t xml:space="preserve">Įgyvendinant </w:t>
            </w:r>
            <w:proofErr w:type="spellStart"/>
            <w:r>
              <w:rPr>
                <w:szCs w:val="24"/>
                <w:lang w:eastAsia="lt-LT"/>
              </w:rPr>
              <w:t>poveiklę</w:t>
            </w:r>
            <w:proofErr w:type="spellEnd"/>
            <w:r>
              <w:rPr>
                <w:szCs w:val="24"/>
                <w:lang w:eastAsia="lt-LT"/>
              </w:rPr>
              <w:t xml:space="preserve"> „</w:t>
            </w:r>
            <w:r>
              <w:t>Dviračių ir pėsčiųjų infrastruktūros vystymas</w:t>
            </w:r>
            <w:r>
              <w:rPr>
                <w:iCs/>
                <w:szCs w:val="24"/>
                <w:lang w:eastAsia="lt-LT"/>
              </w:rPr>
              <w:t xml:space="preserve"> šalia valstybinės reikšmės kelių“,</w:t>
            </w:r>
            <w:r>
              <w:rPr>
                <w:szCs w:val="24"/>
                <w:lang w:eastAsia="lt-LT"/>
              </w:rPr>
              <w:t xml:space="preserve"> bus vadovaujamasi Deleguotojo reglamento </w:t>
            </w:r>
            <w:hyperlink r:id="rId40" w:tgtFrame="_blank" w:history="1">
              <w:r>
                <w:rPr>
                  <w:color w:val="0563C1" w:themeColor="hyperlink"/>
                  <w:szCs w:val="24"/>
                  <w:u w:val="single"/>
                  <w:lang w:eastAsia="lt-LT"/>
                </w:rPr>
                <w:t>(ES) 2021/2139</w:t>
              </w:r>
            </w:hyperlink>
            <w:r>
              <w:rPr>
                <w:szCs w:val="24"/>
                <w:lang w:eastAsia="lt-LT"/>
              </w:rPr>
              <w:t xml:space="preserve"> I ir II priedo 6.13 punkte „</w:t>
            </w:r>
            <w:proofErr w:type="spellStart"/>
            <w:r>
              <w:t>Mikromobilumo</w:t>
            </w:r>
            <w:proofErr w:type="spellEnd"/>
            <w:r>
              <w:t xml:space="preserve"> infrastruktūra, dviračių transporto logistika“</w:t>
            </w:r>
            <w:r>
              <w:rPr>
                <w:szCs w:val="24"/>
                <w:lang w:eastAsia="lt-LT"/>
              </w:rPr>
              <w:t xml:space="preserve"> nustatytais techninės analizės kriterijais ir reikalavimais, tai numatant atitinkamuose dokumentuose (pvz., pirkimo ir kt. dokumentuose) (v</w:t>
            </w:r>
            <w:r>
              <w:rPr>
                <w:bCs/>
                <w:szCs w:val="24"/>
                <w:lang w:eastAsia="lt-LT"/>
              </w:rPr>
              <w:t xml:space="preserve">eiksmų įtaka yra numatyta Deleguotojo reglamento </w:t>
            </w:r>
            <w:hyperlink r:id="rId41" w:tgtFrame="_blank" w:history="1">
              <w:r>
                <w:rPr>
                  <w:bCs/>
                  <w:color w:val="0563C1" w:themeColor="hyperlink"/>
                  <w:szCs w:val="24"/>
                  <w:u w:val="single"/>
                  <w:lang w:eastAsia="lt-LT"/>
                </w:rPr>
                <w:t>(</w:t>
              </w:r>
              <w:r>
                <w:rPr>
                  <w:color w:val="0563C1" w:themeColor="hyperlink"/>
                  <w:szCs w:val="24"/>
                  <w:u w:val="single"/>
                  <w:lang w:eastAsia="lt-LT"/>
                </w:rPr>
                <w:t>ES) 2021/2139</w:t>
              </w:r>
            </w:hyperlink>
            <w:r>
              <w:rPr>
                <w:szCs w:val="24"/>
                <w:lang w:eastAsia="lt-LT"/>
              </w:rPr>
              <w:t xml:space="preserve"> I ir II priedo 6.13 punkte).</w:t>
            </w:r>
          </w:p>
          <w:p w14:paraId="63682248" w14:textId="77777777" w:rsidR="001F3D32" w:rsidRDefault="00BB2082">
            <w:pPr>
              <w:jc w:val="both"/>
              <w:rPr>
                <w:szCs w:val="24"/>
                <w:lang w:eastAsia="lt-LT"/>
              </w:rPr>
            </w:pPr>
            <w:r>
              <w:rPr>
                <w:szCs w:val="24"/>
                <w:lang w:eastAsia="lt-LT"/>
              </w:rPr>
              <w:t xml:space="preserve">Pagal </w:t>
            </w:r>
            <w:r>
              <w:t xml:space="preserve">2011 m. gruodžio 13 d. Europos Parlamento ir Tarybos direktyvą </w:t>
            </w:r>
            <w:hyperlink r:id="rId42" w:tgtFrame="_blank" w:history="1">
              <w:r>
                <w:rPr>
                  <w:color w:val="0563C1" w:themeColor="hyperlink"/>
                  <w:u w:val="single"/>
                </w:rPr>
                <w:t>2011/92/ES</w:t>
              </w:r>
            </w:hyperlink>
            <w:r>
              <w:t xml:space="preserve"> dėl tam tikrų valstybės ir privačių projektų poveikio aplinkai vertinimo su paskutiniais pakeitimais, padarytais 2014 m. balandžio 16 d. Europos </w:t>
            </w:r>
            <w:r>
              <w:lastRenderedPageBreak/>
              <w:t xml:space="preserve">Parlamento ir Tarybos direktyva </w:t>
            </w:r>
            <w:hyperlink r:id="rId43" w:tgtFrame="_blank" w:history="1">
              <w:r>
                <w:rPr>
                  <w:color w:val="0563C1" w:themeColor="hyperlink"/>
                  <w:u w:val="single"/>
                </w:rPr>
                <w:t>2014/52/ES</w:t>
              </w:r>
            </w:hyperlink>
            <w:r>
              <w:t xml:space="preserve">, </w:t>
            </w:r>
            <w:r>
              <w:rPr>
                <w:szCs w:val="24"/>
                <w:lang w:eastAsia="lt-LT"/>
              </w:rPr>
              <w:t xml:space="preserve">bus atliktas PAV arba analizė (procedūra, pagal kurią kompetentinga institucija nustato, ar turi būti atliekamas Direktyvos </w:t>
            </w:r>
            <w:hyperlink r:id="rId44" w:tgtFrame="_blank" w:history="1">
              <w:r>
                <w:rPr>
                  <w:color w:val="0563C1" w:themeColor="hyperlink"/>
                  <w:szCs w:val="24"/>
                  <w:u w:val="single"/>
                  <w:lang w:eastAsia="lt-LT"/>
                </w:rPr>
                <w:t>2011/92/ES</w:t>
              </w:r>
            </w:hyperlink>
            <w:r>
              <w:rPr>
                <w:szCs w:val="24"/>
                <w:lang w:eastAsia="lt-LT"/>
              </w:rPr>
              <w:t xml:space="preserve"> II priede išvardytų projektų PAV (kaip nurodyta Direktyvos </w:t>
            </w:r>
            <w:hyperlink r:id="rId45" w:tgtFrame="_blank" w:history="1">
              <w:r>
                <w:rPr>
                  <w:color w:val="0563C1" w:themeColor="hyperlink"/>
                  <w:szCs w:val="24"/>
                  <w:u w:val="single"/>
                  <w:lang w:eastAsia="lt-LT"/>
                </w:rPr>
                <w:t>2011/92/ES</w:t>
              </w:r>
            </w:hyperlink>
            <w:r>
              <w:rPr>
                <w:szCs w:val="24"/>
                <w:lang w:eastAsia="lt-LT"/>
              </w:rPr>
              <w:t xml:space="preserve"> </w:t>
            </w:r>
            <w:r>
              <w:rPr>
                <w:color w:val="000000"/>
                <w:szCs w:val="24"/>
                <w:lang w:eastAsia="lt-LT"/>
              </w:rPr>
              <w:t>4 straipsnio 2 dalyje</w:t>
            </w:r>
            <w:r>
              <w:rPr>
                <w:szCs w:val="24"/>
                <w:lang w:eastAsia="lt-LT"/>
              </w:rPr>
              <w:t>). Jei bus atliktas PAV, aplinkos apsaugos tikslais bus įgyvendintos reikiamos poveikio švelninimo ir kompensuojamosios priemonės.</w:t>
            </w:r>
          </w:p>
          <w:p w14:paraId="2CF8166C" w14:textId="77777777" w:rsidR="001F3D32" w:rsidRDefault="00BB2082">
            <w:pPr>
              <w:jc w:val="both"/>
              <w:rPr>
                <w:rFonts w:eastAsia="Calibri"/>
                <w:bCs/>
                <w:szCs w:val="24"/>
                <w:highlight w:val="yellow"/>
                <w:lang w:eastAsia="lt-LT"/>
              </w:rPr>
            </w:pPr>
            <w:r>
              <w:rPr>
                <w:szCs w:val="24"/>
                <w:lang w:eastAsia="lt-LT"/>
              </w:rPr>
              <w:t xml:space="preserve">Siekiant užtikrinti, kad </w:t>
            </w:r>
            <w:proofErr w:type="spellStart"/>
            <w:r>
              <w:rPr>
                <w:szCs w:val="24"/>
                <w:lang w:eastAsia="lt-LT"/>
              </w:rPr>
              <w:t>poveiklė</w:t>
            </w:r>
            <w:proofErr w:type="spellEnd"/>
            <w:r>
              <w:rPr>
                <w:szCs w:val="24"/>
                <w:lang w:eastAsia="lt-LT"/>
              </w:rPr>
              <w:t xml:space="preserve"> </w:t>
            </w:r>
            <w:r>
              <w:rPr>
                <w:color w:val="000000"/>
                <w:szCs w:val="24"/>
                <w:lang w:eastAsia="lt-LT"/>
              </w:rPr>
              <w:t>neturėtų reikšmingo poveikio saugomos teritorijos apsaugos tikslams, p</w:t>
            </w:r>
            <w:r>
              <w:rPr>
                <w:szCs w:val="24"/>
                <w:lang w:eastAsia="lt-LT"/>
              </w:rPr>
              <w:t>ažeidžiamos biologinės įvairovės vietovėse arba šalia jų (įskaitant „</w:t>
            </w:r>
            <w:proofErr w:type="spellStart"/>
            <w:r>
              <w:rPr>
                <w:szCs w:val="24"/>
                <w:lang w:eastAsia="lt-LT"/>
              </w:rPr>
              <w:t>Natura</w:t>
            </w:r>
            <w:proofErr w:type="spellEnd"/>
            <w:r>
              <w:rPr>
                <w:szCs w:val="24"/>
                <w:lang w:eastAsia="lt-LT"/>
              </w:rPr>
              <w:t xml:space="preserve"> 2000“ saugomų teritorijų tinklą, UNESCO pasaulio paveldo objektus ir pagrindines biologinės įvairovės teritorijas, taip pat kitas saugomas teritorijas) esančių vietovių ir (arba) vykdant operacijas atitinkamais atvejais bus atliktas atitinkamas vertinimas (p</w:t>
            </w:r>
            <w:r>
              <w:rPr>
                <w:color w:val="000000"/>
                <w:szCs w:val="24"/>
                <w:lang w:eastAsia="lt-LT"/>
              </w:rPr>
              <w:t xml:space="preserve">agal </w:t>
            </w:r>
            <w:r>
              <w:rPr>
                <w:szCs w:val="24"/>
                <w:lang w:eastAsia="lt-LT"/>
              </w:rPr>
              <w:t xml:space="preserve">1992 m. gegužės 21 d. Tarybos direktyvą </w:t>
            </w:r>
            <w:hyperlink r:id="rId46" w:tgtFrame="_blank" w:history="1">
              <w:r>
                <w:rPr>
                  <w:color w:val="0563C1" w:themeColor="hyperlink"/>
                  <w:szCs w:val="24"/>
                  <w:u w:val="single"/>
                  <w:lang w:eastAsia="lt-LT"/>
                </w:rPr>
                <w:t>92/43/EEB</w:t>
              </w:r>
            </w:hyperlink>
            <w:r>
              <w:rPr>
                <w:szCs w:val="24"/>
                <w:lang w:eastAsia="lt-LT"/>
              </w:rPr>
              <w:t xml:space="preserve"> dėl natūralių buveinių ir laukinės faunos bei floros apsaugos ir 2009 m. lapkričio 30 d. Europos Parlamento ir Tarybos direktyvą </w:t>
            </w:r>
            <w:hyperlink r:id="rId47" w:tgtFrame="_blank" w:history="1">
              <w:r>
                <w:rPr>
                  <w:color w:val="0563C1" w:themeColor="hyperlink"/>
                  <w:szCs w:val="24"/>
                  <w:u w:val="single"/>
                  <w:lang w:eastAsia="lt-LT"/>
                </w:rPr>
                <w:t>2009/147/EB</w:t>
              </w:r>
            </w:hyperlink>
            <w:r>
              <w:rPr>
                <w:szCs w:val="24"/>
                <w:lang w:eastAsia="lt-LT"/>
              </w:rPr>
              <w:t xml:space="preserve"> dėl laukinių paukščių apsaugos) ir, remiantis jo išvadomis, įgyvendintos būtinos poveikio švelninimo priemonės.</w:t>
            </w:r>
          </w:p>
          <w:p w14:paraId="44810726" w14:textId="77777777" w:rsidR="001F3D32" w:rsidRDefault="00BB2082">
            <w:pPr>
              <w:jc w:val="both"/>
              <w:rPr>
                <w:rFonts w:eastAsia="Calibri"/>
                <w:b/>
                <w:szCs w:val="24"/>
                <w:lang w:eastAsia="lt-LT"/>
              </w:rPr>
            </w:pPr>
            <w:r>
              <w:rPr>
                <w:rFonts w:eastAsia="Calibri"/>
                <w:bCs/>
                <w:szCs w:val="24"/>
                <w:lang w:eastAsia="lt-LT"/>
              </w:rPr>
              <w:t>Vertinama, kad planuojamos įgyvendinti veiklos neturi jokio numatomo poveikio šiam aplinkos tikslui arba numatomas jų poveikis yra nereikšmingas, t. y. nedaro tiesioginio ir pirminio netiesioginio poveikio per visą gyvavimo ciklą, todėl laikoma, kad veiklos atitinka biologinės įvairovės ir ekosistemų apsaugos ir atkūrimo tikslą.</w:t>
            </w:r>
          </w:p>
        </w:tc>
        <w:tc>
          <w:tcPr>
            <w:tcW w:w="5331" w:type="dxa"/>
            <w:tcBorders>
              <w:top w:val="single" w:sz="4" w:space="0" w:color="auto"/>
              <w:left w:val="single" w:sz="4" w:space="0" w:color="auto"/>
              <w:bottom w:val="single" w:sz="4" w:space="0" w:color="auto"/>
              <w:right w:val="single" w:sz="4" w:space="0" w:color="auto"/>
            </w:tcBorders>
          </w:tcPr>
          <w:p w14:paraId="24FC1572" w14:textId="77777777" w:rsidR="001F3D32" w:rsidRDefault="00BB2082">
            <w:pPr>
              <w:tabs>
                <w:tab w:val="left" w:pos="458"/>
              </w:tabs>
              <w:ind w:left="34"/>
              <w:jc w:val="both"/>
              <w:rPr>
                <w:szCs w:val="24"/>
              </w:rPr>
            </w:pPr>
            <w:r>
              <w:rPr>
                <w:szCs w:val="24"/>
                <w:lang w:eastAsia="lt-LT"/>
              </w:rPr>
              <w:lastRenderedPageBreak/>
              <w:t>1.</w:t>
            </w:r>
            <w:r>
              <w:rPr>
                <w:bCs/>
                <w:szCs w:val="24"/>
                <w:lang w:eastAsia="lt-LT"/>
              </w:rPr>
              <w:t xml:space="preserve"> Pareiškėjas turi būti atlikęs PAV ir turi būti pateikti atsakingos institucijos galiojantys dokumentai (jeigu taikoma). Kai perkami rangos darbai kartu su projektavimo paslaugomis, pateikiamas įsipareigojimas, kad, jeigu privaloma atlikti PAV, per – 2 mėnesius nuo projekto sutarties pasirašymo PAV ataskaitą ir turės atsakingos institucijos galiojantį teigiamą sprendimą dėl planuojamos ūkinės veiklos galimybių, arba su PĮP pateikiama PAV ataskaita ir atsakingos institucijos galiojantis teigiamas sprendimas dėl planuojamos ūkinės veiklos galimybių arba  galiojanti atrankos išvada, kad PAV neprivalomas, kai pagal Planuojamos ūkinės veiklos </w:t>
            </w:r>
            <w:r>
              <w:rPr>
                <w:bCs/>
                <w:szCs w:val="24"/>
                <w:lang w:eastAsia="lt-LT"/>
              </w:rPr>
              <w:lastRenderedPageBreak/>
              <w:t>poveikio aplinkai vertinimo įstatymo nuostatas turi būti atliktos planuojamos ūkinės veiklos PAV procedūros (jeigu taikoma), arba pateikiamas pagrindimas, kodėl nurodytos procedūros netaikomos.</w:t>
            </w:r>
            <w:r>
              <w:rPr>
                <w:szCs w:val="24"/>
              </w:rPr>
              <w:t>2. Vadovaujantis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patvirtinimo“, nuostatomis turi būti atliktas „</w:t>
            </w:r>
            <w:proofErr w:type="spellStart"/>
            <w:r>
              <w:rPr>
                <w:szCs w:val="24"/>
              </w:rPr>
              <w:t>Natura</w:t>
            </w:r>
            <w:proofErr w:type="spellEnd"/>
            <w:r>
              <w:rPr>
                <w:szCs w:val="24"/>
              </w:rPr>
              <w:t xml:space="preserve"> 2000“ teritorijų reikšmingumo nustatymas </w:t>
            </w:r>
            <w:r>
              <w:rPr>
                <w:i/>
                <w:iCs/>
                <w:szCs w:val="24"/>
              </w:rPr>
              <w:t>(jeigu taikoma)</w:t>
            </w:r>
            <w:r>
              <w:rPr>
                <w:szCs w:val="24"/>
              </w:rPr>
              <w:t>.</w:t>
            </w:r>
          </w:p>
          <w:p w14:paraId="75CF8BAE" w14:textId="77777777" w:rsidR="001F3D32" w:rsidRDefault="00BB2082">
            <w:pPr>
              <w:tabs>
                <w:tab w:val="left" w:pos="458"/>
              </w:tabs>
              <w:ind w:left="34"/>
              <w:jc w:val="both"/>
              <w:rPr>
                <w:rFonts w:eastAsia="Calibri"/>
                <w:szCs w:val="24"/>
              </w:rPr>
            </w:pPr>
            <w:r>
              <w:rPr>
                <w:rFonts w:eastAsia="Calibri"/>
                <w:szCs w:val="24"/>
              </w:rPr>
              <w:t>3. Kita aktuali informacija ir (ar) dokumentai.</w:t>
            </w:r>
          </w:p>
        </w:tc>
      </w:tr>
    </w:tbl>
    <w:p w14:paraId="320491A8" w14:textId="77777777" w:rsidR="001F3D32" w:rsidRDefault="001F3D32">
      <w:pPr>
        <w:spacing w:line="276" w:lineRule="auto"/>
        <w:jc w:val="center"/>
        <w:rPr>
          <w:rFonts w:eastAsia="Calibri"/>
          <w:sz w:val="20"/>
          <w:szCs w:val="24"/>
          <w:lang w:eastAsia="lt-LT"/>
        </w:rPr>
      </w:pPr>
    </w:p>
    <w:p w14:paraId="7454985E" w14:textId="77777777" w:rsidR="001F3D32" w:rsidRDefault="00BB2082">
      <w:pPr>
        <w:tabs>
          <w:tab w:val="center" w:pos="4680"/>
          <w:tab w:val="right" w:pos="9360"/>
        </w:tabs>
        <w:jc w:val="center"/>
        <w:rPr>
          <w:sz w:val="22"/>
          <w:szCs w:val="22"/>
          <w:lang w:eastAsia="lt-LT"/>
        </w:rPr>
      </w:pPr>
      <w:r>
        <w:rPr>
          <w:rFonts w:eastAsia="Calibri"/>
          <w:sz w:val="20"/>
          <w:szCs w:val="24"/>
          <w:lang w:eastAsia="lt-LT"/>
        </w:rPr>
        <w:t>________________________________</w:t>
      </w:r>
    </w:p>
    <w:sectPr w:rsidR="001F3D32">
      <w:headerReference w:type="even" r:id="rId48"/>
      <w:headerReference w:type="default" r:id="rId49"/>
      <w:footerReference w:type="even" r:id="rId50"/>
      <w:footerReference w:type="default" r:id="rId51"/>
      <w:headerReference w:type="first" r:id="rId52"/>
      <w:footerReference w:type="first" r:id="rId5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9AC5" w14:textId="77777777" w:rsidR="00A77115" w:rsidRDefault="00A77115">
      <w:pPr>
        <w:rPr>
          <w:sz w:val="22"/>
          <w:szCs w:val="22"/>
        </w:rPr>
      </w:pPr>
      <w:r>
        <w:rPr>
          <w:sz w:val="22"/>
          <w:szCs w:val="22"/>
        </w:rPr>
        <w:separator/>
      </w:r>
    </w:p>
  </w:endnote>
  <w:endnote w:type="continuationSeparator" w:id="0">
    <w:p w14:paraId="607C9F84" w14:textId="77777777" w:rsidR="00A77115" w:rsidRDefault="00A77115">
      <w:pPr>
        <w:rPr>
          <w:sz w:val="22"/>
          <w:szCs w:val="22"/>
        </w:rPr>
      </w:pPr>
      <w:r>
        <w:rPr>
          <w:sz w:val="22"/>
          <w:szCs w:val="22"/>
        </w:rPr>
        <w:continuationSeparator/>
      </w:r>
    </w:p>
  </w:endnote>
  <w:endnote w:type="continuationNotice" w:id="1">
    <w:p w14:paraId="3685BF1C" w14:textId="77777777" w:rsidR="00A77115" w:rsidRDefault="00A7711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C47D" w14:textId="77777777" w:rsidR="001F3D32" w:rsidRDefault="001F3D3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82AB" w14:textId="77777777" w:rsidR="001F3D32" w:rsidRDefault="001F3D3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021D" w14:textId="77777777" w:rsidR="001F3D32" w:rsidRDefault="001F3D3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51BC" w14:textId="77777777" w:rsidR="00A77115" w:rsidRDefault="00A77115">
      <w:pPr>
        <w:rPr>
          <w:sz w:val="22"/>
          <w:szCs w:val="22"/>
        </w:rPr>
      </w:pPr>
      <w:r>
        <w:rPr>
          <w:sz w:val="22"/>
          <w:szCs w:val="22"/>
        </w:rPr>
        <w:separator/>
      </w:r>
    </w:p>
  </w:footnote>
  <w:footnote w:type="continuationSeparator" w:id="0">
    <w:p w14:paraId="025B296D" w14:textId="77777777" w:rsidR="00A77115" w:rsidRDefault="00A77115">
      <w:pPr>
        <w:rPr>
          <w:sz w:val="22"/>
          <w:szCs w:val="22"/>
        </w:rPr>
      </w:pPr>
      <w:r>
        <w:rPr>
          <w:sz w:val="22"/>
          <w:szCs w:val="22"/>
        </w:rPr>
        <w:continuationSeparator/>
      </w:r>
    </w:p>
  </w:footnote>
  <w:footnote w:type="continuationNotice" w:id="1">
    <w:p w14:paraId="015FC55E" w14:textId="77777777" w:rsidR="00A77115" w:rsidRDefault="00A7711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522B" w14:textId="77777777" w:rsidR="001F3D32" w:rsidRDefault="001F3D3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A20F" w14:textId="77777777" w:rsidR="001F3D32" w:rsidRDefault="00BB2082">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32BF2">
      <w:rPr>
        <w:noProof/>
        <w:szCs w:val="22"/>
      </w:rPr>
      <w:t>5</w:t>
    </w:r>
    <w:r>
      <w:rPr>
        <w:szCs w:val="22"/>
      </w:rPr>
      <w:fldChar w:fldCharType="end"/>
    </w:r>
  </w:p>
  <w:p w14:paraId="711BDD1B" w14:textId="77777777" w:rsidR="001F3D32" w:rsidRDefault="001F3D3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6B7F" w14:textId="77777777" w:rsidR="001F3D32" w:rsidRDefault="001F3D3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1F3D32"/>
    <w:rsid w:val="002D5251"/>
    <w:rsid w:val="00851316"/>
    <w:rsid w:val="009A3BAD"/>
    <w:rsid w:val="00A361B0"/>
    <w:rsid w:val="00A77115"/>
    <w:rsid w:val="00BB2082"/>
    <w:rsid w:val="00CF5F2A"/>
    <w:rsid w:val="00D32BF2"/>
    <w:rsid w:val="00E41097"/>
    <w:rsid w:val="00F1534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CF35F"/>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20688366">
      <w:bodyDiv w:val="1"/>
      <w:marLeft w:val="0"/>
      <w:marRight w:val="0"/>
      <w:marTop w:val="0"/>
      <w:marBottom w:val="0"/>
      <w:divBdr>
        <w:top w:val="none" w:sz="0" w:space="0" w:color="auto"/>
        <w:left w:val="none" w:sz="0" w:space="0" w:color="auto"/>
        <w:bottom w:val="none" w:sz="0" w:space="0" w:color="auto"/>
        <w:right w:val="none" w:sz="0" w:space="0" w:color="auto"/>
      </w:divBdr>
    </w:div>
    <w:div w:id="565646786">
      <w:bodyDiv w:val="1"/>
      <w:marLeft w:val="0"/>
      <w:marRight w:val="0"/>
      <w:marTop w:val="0"/>
      <w:marBottom w:val="0"/>
      <w:divBdr>
        <w:top w:val="none" w:sz="0" w:space="0" w:color="auto"/>
        <w:left w:val="none" w:sz="0" w:space="0" w:color="auto"/>
        <w:bottom w:val="none" w:sz="0" w:space="0" w:color="auto"/>
        <w:right w:val="none" w:sz="0" w:space="0" w:color="auto"/>
      </w:divBdr>
    </w:div>
    <w:div w:id="608007731">
      <w:bodyDiv w:val="1"/>
      <w:marLeft w:val="0"/>
      <w:marRight w:val="0"/>
      <w:marTop w:val="0"/>
      <w:marBottom w:val="0"/>
      <w:divBdr>
        <w:top w:val="none" w:sz="0" w:space="0" w:color="auto"/>
        <w:left w:val="none" w:sz="0" w:space="0" w:color="auto"/>
        <w:bottom w:val="none" w:sz="0" w:space="0" w:color="auto"/>
        <w:right w:val="none" w:sz="0" w:space="0" w:color="auto"/>
      </w:divBdr>
    </w:div>
    <w:div w:id="620302901">
      <w:bodyDiv w:val="1"/>
      <w:marLeft w:val="0"/>
      <w:marRight w:val="0"/>
      <w:marTop w:val="0"/>
      <w:marBottom w:val="0"/>
      <w:divBdr>
        <w:top w:val="none" w:sz="0" w:space="0" w:color="auto"/>
        <w:left w:val="none" w:sz="0" w:space="0" w:color="auto"/>
        <w:bottom w:val="none" w:sz="0" w:space="0" w:color="auto"/>
        <w:right w:val="none" w:sz="0" w:space="0" w:color="auto"/>
      </w:divBdr>
    </w:div>
    <w:div w:id="74673469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3762591">
      <w:bodyDiv w:val="1"/>
      <w:marLeft w:val="0"/>
      <w:marRight w:val="0"/>
      <w:marTop w:val="0"/>
      <w:marBottom w:val="0"/>
      <w:divBdr>
        <w:top w:val="none" w:sz="0" w:space="0" w:color="auto"/>
        <w:left w:val="none" w:sz="0" w:space="0" w:color="auto"/>
        <w:bottom w:val="none" w:sz="0" w:space="0" w:color="auto"/>
        <w:right w:val="none" w:sz="0" w:space="0" w:color="auto"/>
      </w:divBdr>
    </w:div>
    <w:div w:id="1072587206">
      <w:bodyDiv w:val="1"/>
      <w:marLeft w:val="0"/>
      <w:marRight w:val="0"/>
      <w:marTop w:val="0"/>
      <w:marBottom w:val="0"/>
      <w:divBdr>
        <w:top w:val="none" w:sz="0" w:space="0" w:color="auto"/>
        <w:left w:val="none" w:sz="0" w:space="0" w:color="auto"/>
        <w:bottom w:val="none" w:sz="0" w:space="0" w:color="auto"/>
        <w:right w:val="none" w:sz="0" w:space="0" w:color="auto"/>
      </w:divBdr>
    </w:div>
    <w:div w:id="1114134861">
      <w:bodyDiv w:val="1"/>
      <w:marLeft w:val="0"/>
      <w:marRight w:val="0"/>
      <w:marTop w:val="0"/>
      <w:marBottom w:val="0"/>
      <w:divBdr>
        <w:top w:val="none" w:sz="0" w:space="0" w:color="auto"/>
        <w:left w:val="none" w:sz="0" w:space="0" w:color="auto"/>
        <w:bottom w:val="none" w:sz="0" w:space="0" w:color="auto"/>
        <w:right w:val="none" w:sz="0" w:space="0" w:color="auto"/>
      </w:divBdr>
    </w:div>
    <w:div w:id="1160541050">
      <w:bodyDiv w:val="1"/>
      <w:marLeft w:val="0"/>
      <w:marRight w:val="0"/>
      <w:marTop w:val="0"/>
      <w:marBottom w:val="0"/>
      <w:divBdr>
        <w:top w:val="none" w:sz="0" w:space="0" w:color="auto"/>
        <w:left w:val="none" w:sz="0" w:space="0" w:color="auto"/>
        <w:bottom w:val="none" w:sz="0" w:space="0" w:color="auto"/>
        <w:right w:val="none" w:sz="0" w:space="0" w:color="auto"/>
      </w:divBdr>
    </w:div>
    <w:div w:id="1253783245">
      <w:bodyDiv w:val="1"/>
      <w:marLeft w:val="0"/>
      <w:marRight w:val="0"/>
      <w:marTop w:val="0"/>
      <w:marBottom w:val="0"/>
      <w:divBdr>
        <w:top w:val="none" w:sz="0" w:space="0" w:color="auto"/>
        <w:left w:val="none" w:sz="0" w:space="0" w:color="auto"/>
        <w:bottom w:val="none" w:sz="0" w:space="0" w:color="auto"/>
        <w:right w:val="none" w:sz="0" w:space="0" w:color="auto"/>
      </w:divBdr>
    </w:div>
    <w:div w:id="1415080414">
      <w:bodyDiv w:val="1"/>
      <w:marLeft w:val="0"/>
      <w:marRight w:val="0"/>
      <w:marTop w:val="0"/>
      <w:marBottom w:val="0"/>
      <w:divBdr>
        <w:top w:val="none" w:sz="0" w:space="0" w:color="auto"/>
        <w:left w:val="none" w:sz="0" w:space="0" w:color="auto"/>
        <w:bottom w:val="none" w:sz="0" w:space="0" w:color="auto"/>
        <w:right w:val="none" w:sz="0" w:space="0" w:color="auto"/>
      </w:divBdr>
    </w:div>
    <w:div w:id="1437556514">
      <w:bodyDiv w:val="1"/>
      <w:marLeft w:val="0"/>
      <w:marRight w:val="0"/>
      <w:marTop w:val="0"/>
      <w:marBottom w:val="0"/>
      <w:divBdr>
        <w:top w:val="none" w:sz="0" w:space="0" w:color="auto"/>
        <w:left w:val="none" w:sz="0" w:space="0" w:color="auto"/>
        <w:bottom w:val="none" w:sz="0" w:space="0" w:color="auto"/>
        <w:right w:val="none" w:sz="0" w:space="0" w:color="auto"/>
      </w:divBdr>
    </w:div>
    <w:div w:id="1710643766">
      <w:bodyDiv w:val="1"/>
      <w:marLeft w:val="0"/>
      <w:marRight w:val="0"/>
      <w:marTop w:val="0"/>
      <w:marBottom w:val="0"/>
      <w:divBdr>
        <w:top w:val="none" w:sz="0" w:space="0" w:color="auto"/>
        <w:left w:val="none" w:sz="0" w:space="0" w:color="auto"/>
        <w:bottom w:val="none" w:sz="0" w:space="0" w:color="auto"/>
        <w:right w:val="none" w:sz="0" w:space="0" w:color="auto"/>
      </w:divBdr>
      <w:divsChild>
        <w:div w:id="1010450917">
          <w:marLeft w:val="0"/>
          <w:marRight w:val="0"/>
          <w:marTop w:val="0"/>
          <w:marBottom w:val="0"/>
          <w:divBdr>
            <w:top w:val="none" w:sz="0" w:space="0" w:color="auto"/>
            <w:left w:val="none" w:sz="0" w:space="0" w:color="auto"/>
            <w:bottom w:val="none" w:sz="0" w:space="0" w:color="auto"/>
            <w:right w:val="none" w:sz="0" w:space="0" w:color="auto"/>
          </w:divBdr>
          <w:divsChild>
            <w:div w:id="2126580805">
              <w:marLeft w:val="0"/>
              <w:marRight w:val="0"/>
              <w:marTop w:val="0"/>
              <w:marBottom w:val="0"/>
              <w:divBdr>
                <w:top w:val="none" w:sz="0" w:space="0" w:color="auto"/>
                <w:left w:val="none" w:sz="0" w:space="0" w:color="auto"/>
                <w:bottom w:val="none" w:sz="0" w:space="0" w:color="auto"/>
                <w:right w:val="none" w:sz="0" w:space="0" w:color="auto"/>
              </w:divBdr>
              <w:divsChild>
                <w:div w:id="2063403912">
                  <w:marLeft w:val="0"/>
                  <w:marRight w:val="0"/>
                  <w:marTop w:val="0"/>
                  <w:marBottom w:val="0"/>
                  <w:divBdr>
                    <w:top w:val="none" w:sz="0" w:space="0" w:color="auto"/>
                    <w:left w:val="none" w:sz="0" w:space="0" w:color="auto"/>
                    <w:bottom w:val="none" w:sz="0" w:space="0" w:color="auto"/>
                    <w:right w:val="none" w:sz="0" w:space="0" w:color="auto"/>
                  </w:divBdr>
                  <w:divsChild>
                    <w:div w:id="505364211">
                      <w:marLeft w:val="0"/>
                      <w:marRight w:val="0"/>
                      <w:marTop w:val="0"/>
                      <w:marBottom w:val="0"/>
                      <w:divBdr>
                        <w:top w:val="none" w:sz="0" w:space="0" w:color="auto"/>
                        <w:left w:val="none" w:sz="0" w:space="0" w:color="auto"/>
                        <w:bottom w:val="none" w:sz="0" w:space="0" w:color="auto"/>
                        <w:right w:val="none" w:sz="0" w:space="0" w:color="auto"/>
                      </w:divBdr>
                      <w:divsChild>
                        <w:div w:id="21706713">
                          <w:marLeft w:val="0"/>
                          <w:marRight w:val="0"/>
                          <w:marTop w:val="0"/>
                          <w:marBottom w:val="0"/>
                          <w:divBdr>
                            <w:top w:val="none" w:sz="0" w:space="0" w:color="auto"/>
                            <w:left w:val="none" w:sz="0" w:space="0" w:color="auto"/>
                            <w:bottom w:val="none" w:sz="0" w:space="0" w:color="auto"/>
                            <w:right w:val="none" w:sz="0" w:space="0" w:color="auto"/>
                          </w:divBdr>
                          <w:divsChild>
                            <w:div w:id="700397605">
                              <w:marLeft w:val="0"/>
                              <w:marRight w:val="0"/>
                              <w:marTop w:val="0"/>
                              <w:marBottom w:val="0"/>
                              <w:divBdr>
                                <w:top w:val="none" w:sz="0" w:space="0" w:color="auto"/>
                                <w:left w:val="none" w:sz="0" w:space="0" w:color="auto"/>
                                <w:bottom w:val="none" w:sz="0" w:space="0" w:color="auto"/>
                                <w:right w:val="none" w:sz="0" w:space="0" w:color="auto"/>
                              </w:divBdr>
                              <w:divsChild>
                                <w:div w:id="1570731968">
                                  <w:marLeft w:val="0"/>
                                  <w:marRight w:val="0"/>
                                  <w:marTop w:val="0"/>
                                  <w:marBottom w:val="0"/>
                                  <w:divBdr>
                                    <w:top w:val="none" w:sz="0" w:space="0" w:color="auto"/>
                                    <w:left w:val="none" w:sz="0" w:space="0" w:color="auto"/>
                                    <w:bottom w:val="none" w:sz="0" w:space="0" w:color="auto"/>
                                    <w:right w:val="none" w:sz="0" w:space="0" w:color="auto"/>
                                  </w:divBdr>
                                  <w:divsChild>
                                    <w:div w:id="246958167">
                                      <w:marLeft w:val="0"/>
                                      <w:marRight w:val="0"/>
                                      <w:marTop w:val="0"/>
                                      <w:marBottom w:val="0"/>
                                      <w:divBdr>
                                        <w:top w:val="none" w:sz="0" w:space="0" w:color="auto"/>
                                        <w:left w:val="none" w:sz="0" w:space="0" w:color="auto"/>
                                        <w:bottom w:val="none" w:sz="0" w:space="0" w:color="auto"/>
                                        <w:right w:val="none" w:sz="0" w:space="0" w:color="auto"/>
                                      </w:divBdr>
                                      <w:divsChild>
                                        <w:div w:id="1784956426">
                                          <w:marLeft w:val="0"/>
                                          <w:marRight w:val="0"/>
                                          <w:marTop w:val="0"/>
                                          <w:marBottom w:val="0"/>
                                          <w:divBdr>
                                            <w:top w:val="none" w:sz="0" w:space="0" w:color="auto"/>
                                            <w:left w:val="none" w:sz="0" w:space="0" w:color="auto"/>
                                            <w:bottom w:val="none" w:sz="0" w:space="0" w:color="auto"/>
                                            <w:right w:val="none" w:sz="0" w:space="0" w:color="auto"/>
                                          </w:divBdr>
                                          <w:divsChild>
                                            <w:div w:id="338780987">
                                              <w:marLeft w:val="0"/>
                                              <w:marRight w:val="0"/>
                                              <w:marTop w:val="0"/>
                                              <w:marBottom w:val="0"/>
                                              <w:divBdr>
                                                <w:top w:val="none" w:sz="0" w:space="0" w:color="auto"/>
                                                <w:left w:val="none" w:sz="0" w:space="0" w:color="auto"/>
                                                <w:bottom w:val="none" w:sz="0" w:space="0" w:color="auto"/>
                                                <w:right w:val="none" w:sz="0" w:space="0" w:color="auto"/>
                                              </w:divBdr>
                                              <w:divsChild>
                                                <w:div w:id="2053190129">
                                                  <w:marLeft w:val="0"/>
                                                  <w:marRight w:val="0"/>
                                                  <w:marTop w:val="0"/>
                                                  <w:marBottom w:val="0"/>
                                                  <w:divBdr>
                                                    <w:top w:val="none" w:sz="0" w:space="0" w:color="auto"/>
                                                    <w:left w:val="none" w:sz="0" w:space="0" w:color="auto"/>
                                                    <w:bottom w:val="none" w:sz="0" w:space="0" w:color="auto"/>
                                                    <w:right w:val="none" w:sz="0" w:space="0" w:color="auto"/>
                                                  </w:divBdr>
                                                  <w:divsChild>
                                                    <w:div w:id="278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2511">
                                          <w:marLeft w:val="0"/>
                                          <w:marRight w:val="0"/>
                                          <w:marTop w:val="0"/>
                                          <w:marBottom w:val="0"/>
                                          <w:divBdr>
                                            <w:top w:val="none" w:sz="0" w:space="0" w:color="auto"/>
                                            <w:left w:val="none" w:sz="0" w:space="0" w:color="auto"/>
                                            <w:bottom w:val="none" w:sz="0" w:space="0" w:color="auto"/>
                                            <w:right w:val="none" w:sz="0" w:space="0" w:color="auto"/>
                                          </w:divBdr>
                                          <w:divsChild>
                                            <w:div w:id="1715811002">
                                              <w:marLeft w:val="0"/>
                                              <w:marRight w:val="0"/>
                                              <w:marTop w:val="0"/>
                                              <w:marBottom w:val="0"/>
                                              <w:divBdr>
                                                <w:top w:val="none" w:sz="0" w:space="0" w:color="auto"/>
                                                <w:left w:val="none" w:sz="0" w:space="0" w:color="auto"/>
                                                <w:bottom w:val="none" w:sz="0" w:space="0" w:color="auto"/>
                                                <w:right w:val="none" w:sz="0" w:space="0" w:color="auto"/>
                                              </w:divBdr>
                                              <w:divsChild>
                                                <w:div w:id="743573404">
                                                  <w:marLeft w:val="0"/>
                                                  <w:marRight w:val="0"/>
                                                  <w:marTop w:val="0"/>
                                                  <w:marBottom w:val="0"/>
                                                  <w:divBdr>
                                                    <w:top w:val="none" w:sz="0" w:space="0" w:color="auto"/>
                                                    <w:left w:val="none" w:sz="0" w:space="0" w:color="auto"/>
                                                    <w:bottom w:val="none" w:sz="0" w:space="0" w:color="auto"/>
                                                    <w:right w:val="none" w:sz="0" w:space="0" w:color="auto"/>
                                                  </w:divBdr>
                                                  <w:divsChild>
                                                    <w:div w:id="959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713327">
          <w:marLeft w:val="0"/>
          <w:marRight w:val="0"/>
          <w:marTop w:val="0"/>
          <w:marBottom w:val="0"/>
          <w:divBdr>
            <w:top w:val="none" w:sz="0" w:space="0" w:color="auto"/>
            <w:left w:val="none" w:sz="0" w:space="0" w:color="auto"/>
            <w:bottom w:val="none" w:sz="0" w:space="0" w:color="auto"/>
            <w:right w:val="none" w:sz="0" w:space="0" w:color="auto"/>
          </w:divBdr>
          <w:divsChild>
            <w:div w:id="1417558229">
              <w:marLeft w:val="0"/>
              <w:marRight w:val="0"/>
              <w:marTop w:val="0"/>
              <w:marBottom w:val="0"/>
              <w:divBdr>
                <w:top w:val="none" w:sz="0" w:space="0" w:color="auto"/>
                <w:left w:val="none" w:sz="0" w:space="0" w:color="auto"/>
                <w:bottom w:val="none" w:sz="0" w:space="0" w:color="auto"/>
                <w:right w:val="none" w:sz="0" w:space="0" w:color="auto"/>
              </w:divBdr>
              <w:divsChild>
                <w:div w:id="1984114400">
                  <w:marLeft w:val="0"/>
                  <w:marRight w:val="0"/>
                  <w:marTop w:val="0"/>
                  <w:marBottom w:val="0"/>
                  <w:divBdr>
                    <w:top w:val="none" w:sz="0" w:space="0" w:color="auto"/>
                    <w:left w:val="none" w:sz="0" w:space="0" w:color="auto"/>
                    <w:bottom w:val="none" w:sz="0" w:space="0" w:color="auto"/>
                    <w:right w:val="none" w:sz="0" w:space="0" w:color="auto"/>
                  </w:divBdr>
                  <w:divsChild>
                    <w:div w:id="1624270538">
                      <w:marLeft w:val="0"/>
                      <w:marRight w:val="0"/>
                      <w:marTop w:val="0"/>
                      <w:marBottom w:val="0"/>
                      <w:divBdr>
                        <w:top w:val="none" w:sz="0" w:space="0" w:color="auto"/>
                        <w:left w:val="none" w:sz="0" w:space="0" w:color="auto"/>
                        <w:bottom w:val="none" w:sz="0" w:space="0" w:color="auto"/>
                        <w:right w:val="none" w:sz="0" w:space="0" w:color="auto"/>
                      </w:divBdr>
                      <w:divsChild>
                        <w:div w:id="537206475">
                          <w:marLeft w:val="0"/>
                          <w:marRight w:val="0"/>
                          <w:marTop w:val="0"/>
                          <w:marBottom w:val="0"/>
                          <w:divBdr>
                            <w:top w:val="none" w:sz="0" w:space="0" w:color="auto"/>
                            <w:left w:val="none" w:sz="0" w:space="0" w:color="auto"/>
                            <w:bottom w:val="none" w:sz="0" w:space="0" w:color="auto"/>
                            <w:right w:val="none" w:sz="0" w:space="0" w:color="auto"/>
                          </w:divBdr>
                          <w:divsChild>
                            <w:div w:id="905804449">
                              <w:marLeft w:val="0"/>
                              <w:marRight w:val="0"/>
                              <w:marTop w:val="0"/>
                              <w:marBottom w:val="0"/>
                              <w:divBdr>
                                <w:top w:val="none" w:sz="0" w:space="0" w:color="auto"/>
                                <w:left w:val="none" w:sz="0" w:space="0" w:color="auto"/>
                                <w:bottom w:val="none" w:sz="0" w:space="0" w:color="auto"/>
                                <w:right w:val="none" w:sz="0" w:space="0" w:color="auto"/>
                              </w:divBdr>
                              <w:divsChild>
                                <w:div w:id="920021558">
                                  <w:marLeft w:val="0"/>
                                  <w:marRight w:val="0"/>
                                  <w:marTop w:val="0"/>
                                  <w:marBottom w:val="0"/>
                                  <w:divBdr>
                                    <w:top w:val="none" w:sz="0" w:space="0" w:color="auto"/>
                                    <w:left w:val="none" w:sz="0" w:space="0" w:color="auto"/>
                                    <w:bottom w:val="none" w:sz="0" w:space="0" w:color="auto"/>
                                    <w:right w:val="none" w:sz="0" w:space="0" w:color="auto"/>
                                  </w:divBdr>
                                  <w:divsChild>
                                    <w:div w:id="1458795429">
                                      <w:marLeft w:val="0"/>
                                      <w:marRight w:val="0"/>
                                      <w:marTop w:val="0"/>
                                      <w:marBottom w:val="0"/>
                                      <w:divBdr>
                                        <w:top w:val="none" w:sz="0" w:space="0" w:color="auto"/>
                                        <w:left w:val="none" w:sz="0" w:space="0" w:color="auto"/>
                                        <w:bottom w:val="none" w:sz="0" w:space="0" w:color="auto"/>
                                        <w:right w:val="none" w:sz="0" w:space="0" w:color="auto"/>
                                      </w:divBdr>
                                      <w:divsChild>
                                        <w:div w:id="766777234">
                                          <w:marLeft w:val="0"/>
                                          <w:marRight w:val="0"/>
                                          <w:marTop w:val="0"/>
                                          <w:marBottom w:val="0"/>
                                          <w:divBdr>
                                            <w:top w:val="none" w:sz="0" w:space="0" w:color="auto"/>
                                            <w:left w:val="none" w:sz="0" w:space="0" w:color="auto"/>
                                            <w:bottom w:val="none" w:sz="0" w:space="0" w:color="auto"/>
                                            <w:right w:val="none" w:sz="0" w:space="0" w:color="auto"/>
                                          </w:divBdr>
                                          <w:divsChild>
                                            <w:div w:id="292105917">
                                              <w:marLeft w:val="0"/>
                                              <w:marRight w:val="0"/>
                                              <w:marTop w:val="0"/>
                                              <w:marBottom w:val="0"/>
                                              <w:divBdr>
                                                <w:top w:val="none" w:sz="0" w:space="0" w:color="auto"/>
                                                <w:left w:val="none" w:sz="0" w:space="0" w:color="auto"/>
                                                <w:bottom w:val="none" w:sz="0" w:space="0" w:color="auto"/>
                                                <w:right w:val="none" w:sz="0" w:space="0" w:color="auto"/>
                                              </w:divBdr>
                                              <w:divsChild>
                                                <w:div w:id="1073158079">
                                                  <w:marLeft w:val="0"/>
                                                  <w:marRight w:val="0"/>
                                                  <w:marTop w:val="0"/>
                                                  <w:marBottom w:val="0"/>
                                                  <w:divBdr>
                                                    <w:top w:val="none" w:sz="0" w:space="0" w:color="auto"/>
                                                    <w:left w:val="none" w:sz="0" w:space="0" w:color="auto"/>
                                                    <w:bottom w:val="none" w:sz="0" w:space="0" w:color="auto"/>
                                                    <w:right w:val="none" w:sz="0" w:space="0" w:color="auto"/>
                                                  </w:divBdr>
                                                  <w:divsChild>
                                                    <w:div w:id="1995909788">
                                                      <w:marLeft w:val="0"/>
                                                      <w:marRight w:val="0"/>
                                                      <w:marTop w:val="0"/>
                                                      <w:marBottom w:val="0"/>
                                                      <w:divBdr>
                                                        <w:top w:val="none" w:sz="0" w:space="0" w:color="auto"/>
                                                        <w:left w:val="none" w:sz="0" w:space="0" w:color="auto"/>
                                                        <w:bottom w:val="none" w:sz="0" w:space="0" w:color="auto"/>
                                                        <w:right w:val="none" w:sz="0" w:space="0" w:color="auto"/>
                                                      </w:divBdr>
                                                      <w:divsChild>
                                                        <w:div w:id="211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4500410">
      <w:bodyDiv w:val="1"/>
      <w:marLeft w:val="0"/>
      <w:marRight w:val="0"/>
      <w:marTop w:val="0"/>
      <w:marBottom w:val="0"/>
      <w:divBdr>
        <w:top w:val="none" w:sz="0" w:space="0" w:color="auto"/>
        <w:left w:val="none" w:sz="0" w:space="0" w:color="auto"/>
        <w:bottom w:val="none" w:sz="0" w:space="0" w:color="auto"/>
        <w:right w:val="none" w:sz="0" w:space="0" w:color="auto"/>
      </w:divBdr>
    </w:div>
    <w:div w:id="1739790184">
      <w:bodyDiv w:val="1"/>
      <w:marLeft w:val="0"/>
      <w:marRight w:val="0"/>
      <w:marTop w:val="0"/>
      <w:marBottom w:val="0"/>
      <w:divBdr>
        <w:top w:val="none" w:sz="0" w:space="0" w:color="auto"/>
        <w:left w:val="none" w:sz="0" w:space="0" w:color="auto"/>
        <w:bottom w:val="none" w:sz="0" w:space="0" w:color="auto"/>
        <w:right w:val="none" w:sz="0" w:space="0" w:color="auto"/>
      </w:divBdr>
    </w:div>
    <w:div w:id="174760546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72761717">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84981672">
      <w:bodyDiv w:val="1"/>
      <w:marLeft w:val="0"/>
      <w:marRight w:val="0"/>
      <w:marTop w:val="0"/>
      <w:marBottom w:val="0"/>
      <w:divBdr>
        <w:top w:val="none" w:sz="0" w:space="0" w:color="auto"/>
        <w:left w:val="none" w:sz="0" w:space="0" w:color="auto"/>
        <w:bottom w:val="none" w:sz="0" w:space="0" w:color="auto"/>
        <w:right w:val="none" w:sz="0" w:space="0" w:color="auto"/>
      </w:divBdr>
    </w:div>
    <w:div w:id="2109890594">
      <w:bodyDiv w:val="1"/>
      <w:marLeft w:val="0"/>
      <w:marRight w:val="0"/>
      <w:marTop w:val="0"/>
      <w:marBottom w:val="0"/>
      <w:divBdr>
        <w:top w:val="none" w:sz="0" w:space="0" w:color="auto"/>
        <w:left w:val="none" w:sz="0" w:space="0" w:color="auto"/>
        <w:bottom w:val="none" w:sz="0" w:space="0" w:color="auto"/>
        <w:right w:val="none" w:sz="0" w:space="0" w:color="auto"/>
      </w:divBdr>
    </w:div>
    <w:div w:id="214207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9R2088&amp;locale=lt" TargetMode="External"/><Relationship Id="rId18" Type="http://schemas.openxmlformats.org/officeDocument/2006/relationships/hyperlink" Target="http://eur-lex.europa.eu/legal-content/LIT/TXT/?uri=CELEX:32021R1060&amp;locale=lt" TargetMode="External"/><Relationship Id="rId26" Type="http://schemas.openxmlformats.org/officeDocument/2006/relationships/hyperlink" Target="http://eur-lex.europa.eu/legal-content/LIT/TXT/?uri=CELEX:31994D0904&amp;locale=lt" TargetMode="External"/><Relationship Id="rId39" Type="http://schemas.openxmlformats.org/officeDocument/2006/relationships/hyperlink" Target="http://eur-lex.europa.eu/legal-content/LIT/TXT/?uri=CELEX:32000L0021&amp;locale=lt" TargetMode="External"/><Relationship Id="rId21" Type="http://schemas.openxmlformats.org/officeDocument/2006/relationships/hyperlink" Target="http://eur-lex.europa.eu/legal-content/LIT/TXT/?uri=CELEX:32021R2139&amp;locale=lt" TargetMode="External"/><Relationship Id="rId34" Type="http://schemas.openxmlformats.org/officeDocument/2006/relationships/hyperlink" Target="http://eur-lex.europa.eu/legal-content/LIT/TXT/?uri=CELEX:31994R1488&amp;locale=lt" TargetMode="External"/><Relationship Id="rId42" Type="http://schemas.openxmlformats.org/officeDocument/2006/relationships/hyperlink" Target="http://eur-lex.europa.eu/legal-content/LIT/TXT/?uri=CELEX:32011L0092&amp;locale=lt" TargetMode="External"/><Relationship Id="rId47" Type="http://schemas.openxmlformats.org/officeDocument/2006/relationships/hyperlink" Target="http://eur-lex.europa.eu/legal-content/LIT/TXT/?uri=CELEX:32009L0147&amp;locale=lt"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legal-content/LIT/TXT/?uri=CELEX:32021R2139&amp;locale=lt" TargetMode="External"/><Relationship Id="rId29" Type="http://schemas.openxmlformats.org/officeDocument/2006/relationships/hyperlink" Target="http://eur-lex.europa.eu/legal-content/LIT/TXT/?uri=CELEX:32021R2139&amp;locale=lt" TargetMode="External"/><Relationship Id="rId11" Type="http://schemas.openxmlformats.org/officeDocument/2006/relationships/hyperlink" Target="http://eur-lex.europa.eu/legal-content/LIT/TXT/?uri=CELEX:32021R0241&amp;locale=lt" TargetMode="External"/><Relationship Id="rId24" Type="http://schemas.openxmlformats.org/officeDocument/2006/relationships/hyperlink" Target="http://eur-lex.europa.eu/legal-content/LIT/TXT/?uri=CELEX:31994D0003&amp;locale=lt" TargetMode="External"/><Relationship Id="rId32" Type="http://schemas.openxmlformats.org/officeDocument/2006/relationships/hyperlink" Target="http://eur-lex.europa.eu/legal-content/LIT/TXT/?uri=CELEX:31999L0045&amp;locale=lt" TargetMode="External"/><Relationship Id="rId37" Type="http://schemas.openxmlformats.org/officeDocument/2006/relationships/hyperlink" Target="http://eur-lex.europa.eu/legal-content/LIT/TXT/?uri=CELEX:31993L0067&amp;locale=lt" TargetMode="External"/><Relationship Id="rId40" Type="http://schemas.openxmlformats.org/officeDocument/2006/relationships/hyperlink" Target="http://eur-lex.europa.eu/legal-content/LIT/TXT/?uri=CELEX:32021R2139&amp;locale=lt" TargetMode="External"/><Relationship Id="rId45" Type="http://schemas.openxmlformats.org/officeDocument/2006/relationships/hyperlink" Target="http://eur-lex.europa.eu/legal-content/LIT/TXT/?uri=CELEX:32011L0092&amp;locale=lt" TargetMode="External"/><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eur-lex.europa.eu/legal-content/LIT/TXT/?uri=CELEX:32021R2139&amp;locale=lt" TargetMode="External"/><Relationship Id="rId31" Type="http://schemas.openxmlformats.org/officeDocument/2006/relationships/hyperlink" Target="http://eur-lex.europa.eu/legal-content/LIT/TXT/?uri=CELEX:32006R1907&amp;locale=lt" TargetMode="External"/><Relationship Id="rId44" Type="http://schemas.openxmlformats.org/officeDocument/2006/relationships/hyperlink" Target="http://eur-lex.europa.eu/legal-content/LIT/TXT/?uri=CELEX:32011L0092&amp;locale=lt"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23R2831&amp;locale=lt" TargetMode="External"/><Relationship Id="rId22" Type="http://schemas.openxmlformats.org/officeDocument/2006/relationships/hyperlink" Target="http://eur-lex.europa.eu/legal-content/LIT/TXT/?uri=CELEX:32021R2139&amp;locale=lt" TargetMode="External"/><Relationship Id="rId27" Type="http://schemas.openxmlformats.org/officeDocument/2006/relationships/hyperlink" Target="http://eur-lex.europa.eu/legal-content/LIT/TXT/?uri=CELEX:31991L0689&amp;locale=lt" TargetMode="External"/><Relationship Id="rId30" Type="http://schemas.openxmlformats.org/officeDocument/2006/relationships/hyperlink" Target="http://eur-lex.europa.eu/legal-content/LIT/TXT/?uri=CELEX:32021R2139&amp;locale=lt" TargetMode="External"/><Relationship Id="rId35" Type="http://schemas.openxmlformats.org/officeDocument/2006/relationships/hyperlink" Target="http://eur-lex.europa.eu/legal-content/LIT/TXT/?uri=CELEX:31976L0769&amp;locale=lt" TargetMode="External"/><Relationship Id="rId43" Type="http://schemas.openxmlformats.org/officeDocument/2006/relationships/hyperlink" Target="http://eur-lex.europa.eu/legal-content/LIT/TXT/?uri=CELEX:32014L0052&amp;locale=lt"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eur-lex.europa.eu/legal-content/LIT/TXT/?uri=CELEX:32020R0852&amp;locale=lt" TargetMode="External"/><Relationship Id="rId17" Type="http://schemas.openxmlformats.org/officeDocument/2006/relationships/hyperlink" Target="http://eur-lex.europa.eu/legal-content/LIT/TXT/?uri=CELEX:32020R0852&amp;locale=lt" TargetMode="External"/><Relationship Id="rId25" Type="http://schemas.openxmlformats.org/officeDocument/2006/relationships/hyperlink" Target="http://eur-lex.europa.eu/legal-content/LIT/TXT/?uri=CELEX:31975L0442&amp;locale=lt" TargetMode="External"/><Relationship Id="rId33" Type="http://schemas.openxmlformats.org/officeDocument/2006/relationships/hyperlink" Target="http://eur-lex.europa.eu/legal-content/LIT/TXT/?uri=CELEX:31993R0793&amp;locale=lt" TargetMode="External"/><Relationship Id="rId38" Type="http://schemas.openxmlformats.org/officeDocument/2006/relationships/hyperlink" Target="http://eur-lex.europa.eu/legal-content/LIT/TXT/?uri=CELEX:31993L0105&amp;locale=lt" TargetMode="External"/><Relationship Id="rId46" Type="http://schemas.openxmlformats.org/officeDocument/2006/relationships/hyperlink" Target="http://eur-lex.europa.eu/legal-content/LIT/TXT/?uri=CELEX:31992L0043&amp;locale=lt" TargetMode="External"/><Relationship Id="rId20" Type="http://schemas.openxmlformats.org/officeDocument/2006/relationships/hyperlink" Target="http://eur-lex.europa.eu/legal-content/LIT/TXT/?uri=CELEX:32021R2139&amp;locale=lt" TargetMode="External"/><Relationship Id="rId41" Type="http://schemas.openxmlformats.org/officeDocument/2006/relationships/hyperlink" Target="http://eur-lex.europa.eu/legal-content/LIT/TXT/?uri=CELEX:32021R2139&amp;locale=l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ur-lex.europa.eu/legal-content/LIT/TXT/?uri=CELEX:32021R1060&amp;locale=lt" TargetMode="External"/><Relationship Id="rId23" Type="http://schemas.openxmlformats.org/officeDocument/2006/relationships/hyperlink" Target="http://eur-lex.europa.eu/legal-content/LIT/TXT/?uri=CELEX:32021R2139&amp;locale=lt" TargetMode="External"/><Relationship Id="rId28" Type="http://schemas.openxmlformats.org/officeDocument/2006/relationships/hyperlink" Target="http://eur-lex.europa.eu/legal-content/LIT/TXT/?uri=CELEX:32008L0098&amp;locale=lt" TargetMode="External"/><Relationship Id="rId36" Type="http://schemas.openxmlformats.org/officeDocument/2006/relationships/hyperlink" Target="http://eur-lex.europa.eu/legal-content/LIT/TXT/?uri=CELEX:31991L0155&amp;locale=lt"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7C3AD-72B4-418C-A42B-61509F598257}">
  <ds:schemaRefs>
    <ds:schemaRef ds:uri="http://schemas.openxmlformats.org/officeDocument/2006/bibliography"/>
  </ds:schemaRefs>
</ds:datastoreItem>
</file>

<file path=customXml/itemProps2.xml><?xml version="1.0" encoding="utf-8"?>
<ds:datastoreItem xmlns:ds="http://schemas.openxmlformats.org/officeDocument/2006/customXml" ds:itemID="{C3DFE769-0673-4514-96C1-041D0C76C4A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7037</Words>
  <Characters>40113</Characters>
  <Application>Microsoft Office Word</Application>
  <DocSecurity>0</DocSecurity>
  <Lines>334</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Urtė Morozovaitė</cp:lastModifiedBy>
  <cp:revision>4</cp:revision>
  <dcterms:created xsi:type="dcterms:W3CDTF">2026-02-25T15:50:00Z</dcterms:created>
  <dcterms:modified xsi:type="dcterms:W3CDTF">2026-02-26T07:24:00Z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