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E70E" w14:textId="77777777" w:rsidR="00C54C8B" w:rsidRDefault="00C54C8B" w:rsidP="00C54C8B">
      <w:pPr>
        <w:suppressAutoHyphens/>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color w:val="000000"/>
          <w:szCs w:val="24"/>
          <w:lang w:eastAsia="en-GB"/>
        </w:rPr>
        <w:t xml:space="preserve">Nr. </w:t>
      </w:r>
      <w:r>
        <w:rPr>
          <w:szCs w:val="24"/>
          <w:lang w:eastAsia="lt-LT"/>
        </w:rPr>
        <w:t>10-001-06-01-02</w:t>
      </w:r>
      <w:r>
        <w:rPr>
          <w:szCs w:val="24"/>
        </w:rPr>
        <w:t xml:space="preserve"> </w:t>
      </w:r>
      <w:r>
        <w:rPr>
          <w:color w:val="000000"/>
          <w:szCs w:val="24"/>
          <w:lang w:eastAsia="en-GB"/>
        </w:rPr>
        <w:t>„</w:t>
      </w:r>
      <w:r>
        <w:rPr>
          <w:szCs w:val="24"/>
          <w:lang w:eastAsia="lt-LT"/>
        </w:rPr>
        <w:t>Skatinti darnų judumą</w:t>
      </w:r>
      <w:r>
        <w:rPr>
          <w:szCs w:val="24"/>
        </w:rPr>
        <w:t xml:space="preserve">“ veiklos „Dviračių ir pėsčiųjų infrastruktūros vystymas“ </w:t>
      </w:r>
      <w:proofErr w:type="spellStart"/>
      <w:r>
        <w:rPr>
          <w:szCs w:val="24"/>
        </w:rPr>
        <w:t>poveiklės</w:t>
      </w:r>
      <w:proofErr w:type="spellEnd"/>
      <w:r>
        <w:rPr>
          <w:szCs w:val="24"/>
        </w:rPr>
        <w:t xml:space="preserve"> „Dviračių ir pėsčiųjų infrastruktūros vystymas savivaldybėse“ projektų finansavimo sąlygų aprašo priedas</w:t>
      </w:r>
    </w:p>
    <w:p w14:paraId="43D9D921" w14:textId="77777777" w:rsidR="00C54C8B" w:rsidRDefault="00C54C8B" w:rsidP="00C54C8B">
      <w:pPr>
        <w:suppressAutoHyphens/>
        <w:ind w:left="9781"/>
        <w:jc w:val="both"/>
        <w:textAlignment w:val="baseline"/>
        <w:rPr>
          <w:szCs w:val="24"/>
          <w:lang w:eastAsia="lt-LT"/>
        </w:rPr>
      </w:pPr>
    </w:p>
    <w:p w14:paraId="176BA70D" w14:textId="77777777" w:rsidR="00C54C8B" w:rsidRDefault="00C54C8B" w:rsidP="00C54C8B">
      <w:pPr>
        <w:jc w:val="center"/>
        <w:rPr>
          <w:rFonts w:eastAsia="Calibri"/>
          <w:b/>
          <w:bCs/>
          <w:szCs w:val="24"/>
          <w:lang w:eastAsia="lt-LT"/>
        </w:rPr>
      </w:pPr>
      <w:r>
        <w:rPr>
          <w:rFonts w:eastAsia="Calibri"/>
          <w:b/>
          <w:bCs/>
          <w:szCs w:val="24"/>
          <w:lang w:eastAsia="lt-LT"/>
        </w:rPr>
        <w:t>PROJEKTO (ĮSKAITANT JUNGTINĮ PROJEKTĄ) ATITIKTIES REIKŠMINGOS ŽALOS NEDARYMO HORIZONTALIAJAM PRINCIPUI VERTINIMO REIKALAVIMŲ APRAŠAS</w:t>
      </w:r>
    </w:p>
    <w:p w14:paraId="17F44BF5" w14:textId="77777777" w:rsidR="00C54C8B" w:rsidRDefault="00C54C8B" w:rsidP="00C54C8B">
      <w:pPr>
        <w:spacing w:line="276" w:lineRule="auto"/>
        <w:rPr>
          <w:szCs w:val="24"/>
        </w:rPr>
      </w:pPr>
    </w:p>
    <w:p w14:paraId="1212AC41" w14:textId="77777777" w:rsidR="00C54C8B" w:rsidRDefault="00C54C8B" w:rsidP="00C54C8B">
      <w:pPr>
        <w:spacing w:line="276" w:lineRule="auto"/>
        <w:jc w:val="both"/>
        <w:rPr>
          <w:rFonts w:eastAsia="Calibri"/>
          <w:bCs/>
          <w:szCs w:val="24"/>
          <w:lang w:eastAsia="lt-LT"/>
        </w:rPr>
      </w:pPr>
      <w:r>
        <w:rPr>
          <w:rFonts w:eastAsia="Calibri"/>
          <w:bCs/>
          <w:szCs w:val="24"/>
          <w:lang w:eastAsia="lt-LT"/>
        </w:rPr>
        <w:t>Finansavimo šaltinis, pagal kurį finansuojamas projektas:</w:t>
      </w:r>
    </w:p>
    <w:p w14:paraId="71670091" w14:textId="77777777" w:rsidR="00C54C8B" w:rsidRDefault="00C54C8B" w:rsidP="00C54C8B">
      <w:pPr>
        <w:spacing w:line="276" w:lineRule="auto"/>
        <w:jc w:val="both"/>
        <w:rPr>
          <w:rFonts w:eastAsia="Calibri"/>
          <w:bCs/>
          <w:szCs w:val="24"/>
          <w:lang w:eastAsia="lt-LT"/>
        </w:rPr>
      </w:pPr>
      <w:r>
        <w:rPr>
          <w:rFonts w:ascii="MS Gothic" w:eastAsia="MS Gothic" w:hAnsi="MS Gothic"/>
        </w:rPr>
        <w:t>☒</w:t>
      </w:r>
      <w:r>
        <w:rPr>
          <w:szCs w:val="24"/>
          <w:lang w:eastAsia="lt-LT"/>
        </w:rPr>
        <w:t xml:space="preserve"> </w:t>
      </w:r>
      <w:r>
        <w:rPr>
          <w:rFonts w:eastAsia="Calibri"/>
          <w:bCs/>
          <w:szCs w:val="24"/>
          <w:lang w:eastAsia="lt-LT"/>
        </w:rPr>
        <w:t>Ekonomikos gaivinimo ir atsparumo didinimo priemonė</w:t>
      </w:r>
    </w:p>
    <w:p w14:paraId="178DBB68" w14:textId="77777777" w:rsidR="00C54C8B" w:rsidRDefault="00C54C8B" w:rsidP="00C54C8B">
      <w:pPr>
        <w:spacing w:line="276" w:lineRule="auto"/>
        <w:jc w:val="both"/>
        <w:rPr>
          <w:rFonts w:eastAsia="Calibri"/>
          <w:bCs/>
          <w:szCs w:val="24"/>
          <w:lang w:eastAsia="lt-LT"/>
        </w:rPr>
      </w:pPr>
      <w:r>
        <w:rPr>
          <w:rFonts w:ascii="Wingdings 2" w:eastAsia="Wingdings 2" w:hAnsi="Wingdings 2" w:cs="Wingdings 2"/>
          <w:szCs w:val="24"/>
          <w:lang w:eastAsia="lt-LT"/>
        </w:rPr>
        <w:t></w:t>
      </w:r>
      <w:r>
        <w:rPr>
          <w:szCs w:val="24"/>
          <w:lang w:eastAsia="lt-LT"/>
        </w:rPr>
        <w:t xml:space="preserve"> Europos Sąjungos fondų i</w:t>
      </w:r>
      <w:r>
        <w:rPr>
          <w:rFonts w:eastAsia="Calibri"/>
          <w:bCs/>
          <w:szCs w:val="24"/>
          <w:lang w:eastAsia="lt-LT"/>
        </w:rPr>
        <w:t>nvesticijų programa (toliau – ESFIP)</w:t>
      </w:r>
    </w:p>
    <w:p w14:paraId="335B3AA8" w14:textId="77777777" w:rsidR="00C54C8B" w:rsidRDefault="00C54C8B" w:rsidP="00C54C8B">
      <w:pPr>
        <w:spacing w:line="276" w:lineRule="auto"/>
        <w:jc w:val="both"/>
        <w:rPr>
          <w:rFonts w:eastAsia="Calibri"/>
          <w:bCs/>
          <w:szCs w:val="24"/>
          <w:lang w:eastAsia="lt-LT"/>
        </w:rPr>
      </w:pPr>
    </w:p>
    <w:p w14:paraId="4DE60982" w14:textId="77777777" w:rsidR="00C54C8B" w:rsidRDefault="00C54C8B" w:rsidP="00C54C8B">
      <w:pPr>
        <w:spacing w:line="276" w:lineRule="auto"/>
        <w:jc w:val="both"/>
        <w:rPr>
          <w:rFonts w:eastAsia="Calibri"/>
          <w:bCs/>
          <w:szCs w:val="24"/>
          <w:lang w:eastAsia="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57"/>
        <w:gridCol w:w="5331"/>
      </w:tblGrid>
      <w:tr w:rsidR="00C54C8B" w14:paraId="3C05296E"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0D07AF33" w14:textId="77777777" w:rsidR="00C54C8B" w:rsidRDefault="00C54C8B" w:rsidP="00D80EE8">
            <w:pPr>
              <w:jc w:val="center"/>
              <w:rPr>
                <w:rFonts w:eastAsia="Calibri"/>
                <w:b/>
                <w:szCs w:val="24"/>
                <w:lang w:eastAsia="lt-LT"/>
              </w:rPr>
            </w:pPr>
            <w:r>
              <w:rPr>
                <w:rFonts w:eastAsia="Calibri"/>
                <w:b/>
                <w:szCs w:val="24"/>
                <w:lang w:eastAsia="lt-LT"/>
              </w:rPr>
              <w:t>Aplinkos tikslai</w:t>
            </w:r>
          </w:p>
          <w:p w14:paraId="7AD8EB60" w14:textId="77777777" w:rsidR="00C54C8B" w:rsidRDefault="00C54C8B" w:rsidP="00D80EE8">
            <w:pPr>
              <w:jc w:val="center"/>
              <w:rPr>
                <w:rFonts w:eastAsia="Calibri"/>
                <w:b/>
                <w:szCs w:val="24"/>
                <w:lang w:eastAsia="lt-LT"/>
              </w:rPr>
            </w:pPr>
          </w:p>
        </w:tc>
        <w:tc>
          <w:tcPr>
            <w:tcW w:w="6257" w:type="dxa"/>
            <w:tcBorders>
              <w:top w:val="single" w:sz="4" w:space="0" w:color="auto"/>
              <w:left w:val="single" w:sz="4" w:space="0" w:color="auto"/>
              <w:bottom w:val="single" w:sz="4" w:space="0" w:color="auto"/>
              <w:right w:val="single" w:sz="4" w:space="0" w:color="auto"/>
            </w:tcBorders>
            <w:hideMark/>
          </w:tcPr>
          <w:p w14:paraId="6ECAB663" w14:textId="77777777" w:rsidR="00C54C8B" w:rsidRDefault="00C54C8B" w:rsidP="00D80EE8">
            <w:pPr>
              <w:jc w:val="center"/>
              <w:rPr>
                <w:rFonts w:eastAsia="Calibri"/>
                <w:b/>
                <w:szCs w:val="24"/>
                <w:lang w:eastAsia="lt-LT"/>
              </w:rPr>
            </w:pPr>
            <w:r>
              <w:rPr>
                <w:rFonts w:eastAsia="Calibri"/>
                <w:b/>
                <w:szCs w:val="24"/>
                <w:lang w:eastAsia="lt-LT"/>
              </w:rPr>
              <w:t>Su Europos Komisija suderintas pagrindimas</w:t>
            </w:r>
          </w:p>
          <w:p w14:paraId="71C3DF2F" w14:textId="77777777" w:rsidR="00C54C8B" w:rsidRDefault="00C54C8B" w:rsidP="00D80EE8">
            <w:pPr>
              <w:jc w:val="center"/>
              <w:rPr>
                <w:rFonts w:eastAsia="Calibri"/>
                <w:b/>
                <w:szCs w:val="24"/>
                <w:lang w:eastAsia="lt-LT"/>
              </w:rPr>
            </w:pPr>
          </w:p>
        </w:tc>
        <w:tc>
          <w:tcPr>
            <w:tcW w:w="5331" w:type="dxa"/>
            <w:tcBorders>
              <w:top w:val="single" w:sz="4" w:space="0" w:color="auto"/>
              <w:left w:val="single" w:sz="4" w:space="0" w:color="auto"/>
              <w:bottom w:val="single" w:sz="4" w:space="0" w:color="auto"/>
              <w:right w:val="single" w:sz="4" w:space="0" w:color="auto"/>
            </w:tcBorders>
            <w:hideMark/>
          </w:tcPr>
          <w:p w14:paraId="02560B95" w14:textId="77777777" w:rsidR="00C54C8B" w:rsidRDefault="00C54C8B" w:rsidP="00D80EE8">
            <w:pPr>
              <w:jc w:val="center"/>
              <w:rPr>
                <w:rFonts w:eastAsia="Calibri"/>
                <w:i/>
                <w:szCs w:val="24"/>
                <w:lang w:eastAsia="lt-LT"/>
              </w:rPr>
            </w:pPr>
            <w:r>
              <w:rPr>
                <w:rFonts w:eastAsia="Calibri"/>
                <w:b/>
                <w:szCs w:val="24"/>
                <w:lang w:eastAsia="lt-LT"/>
              </w:rPr>
              <w:t>Pagrindimo dokumentai</w:t>
            </w:r>
          </w:p>
          <w:p w14:paraId="3A071032" w14:textId="77777777" w:rsidR="00C54C8B" w:rsidRDefault="00C54C8B" w:rsidP="00D80EE8">
            <w:pPr>
              <w:jc w:val="center"/>
              <w:rPr>
                <w:rFonts w:eastAsia="Calibri"/>
                <w:b/>
                <w:bCs/>
                <w:iCs/>
                <w:szCs w:val="24"/>
                <w:lang w:eastAsia="lt-LT"/>
              </w:rPr>
            </w:pPr>
          </w:p>
        </w:tc>
      </w:tr>
      <w:tr w:rsidR="00C54C8B" w14:paraId="42863F8E"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2D133495"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1.</w:t>
            </w:r>
            <w:r>
              <w:rPr>
                <w:rFonts w:eastAsia="Calibri"/>
                <w:szCs w:val="24"/>
                <w:lang w:eastAsia="lt-LT"/>
              </w:rPr>
              <w:tab/>
              <w:t>Klimato kaitos švelninimas</w:t>
            </w:r>
          </w:p>
        </w:tc>
        <w:tc>
          <w:tcPr>
            <w:tcW w:w="6257" w:type="dxa"/>
            <w:tcBorders>
              <w:top w:val="single" w:sz="4" w:space="0" w:color="auto"/>
              <w:left w:val="single" w:sz="4" w:space="0" w:color="auto"/>
              <w:bottom w:val="single" w:sz="4" w:space="0" w:color="auto"/>
              <w:right w:val="single" w:sz="4" w:space="0" w:color="auto"/>
            </w:tcBorders>
          </w:tcPr>
          <w:p w14:paraId="54D506E1" w14:textId="77777777" w:rsidR="00C54C8B" w:rsidRDefault="00C54C8B" w:rsidP="00D80EE8">
            <w:pPr>
              <w:jc w:val="both"/>
              <w:rPr>
                <w:szCs w:val="24"/>
                <w:lang w:eastAsia="lt-LT"/>
              </w:rPr>
            </w:pPr>
            <w:r>
              <w:rPr>
                <w:szCs w:val="24"/>
                <w:lang w:eastAsia="lt-LT"/>
              </w:rPr>
              <w:t xml:space="preserve">Vertinama, kad planuojama įgyvendinti </w:t>
            </w:r>
            <w:proofErr w:type="spellStart"/>
            <w:r>
              <w:rPr>
                <w:szCs w:val="24"/>
                <w:lang w:eastAsia="lt-LT"/>
              </w:rPr>
              <w:t>poveiklė</w:t>
            </w:r>
            <w:proofErr w:type="spellEnd"/>
            <w:r>
              <w:rPr>
                <w:szCs w:val="24"/>
                <w:lang w:eastAsia="lt-LT"/>
              </w:rPr>
              <w:t xml:space="preserve"> „</w:t>
            </w:r>
            <w:r>
              <w:t>Dviračių ir pėsčiųjų infrastruktūros vystymas</w:t>
            </w:r>
            <w:r>
              <w:rPr>
                <w:iCs/>
                <w:szCs w:val="24"/>
                <w:lang w:eastAsia="lt-LT"/>
              </w:rPr>
              <w:t xml:space="preserve"> savivaldybėse“ </w:t>
            </w:r>
            <w:r>
              <w:rPr>
                <w:szCs w:val="24"/>
                <w:lang w:eastAsia="lt-LT"/>
              </w:rPr>
              <w:t>neturi jokio numatomo neigiamo poveikio šiam aplinkos tikslui arba numatomas jos poveikis yra nereikšmingas, t. y. nedaro tiesioginio ir pirminio netiesioginio poveikio per visą gyvavimo ciklą, todėl laikoma, kad veikla atitinka klimato kaitos švelninimo tikslą.</w:t>
            </w:r>
          </w:p>
          <w:p w14:paraId="0B75BBE9" w14:textId="77777777" w:rsidR="00C54C8B" w:rsidRDefault="00C54C8B" w:rsidP="00D80EE8">
            <w:pPr>
              <w:jc w:val="both"/>
              <w:rPr>
                <w:bCs/>
                <w:szCs w:val="24"/>
                <w:lang w:eastAsia="lt-LT"/>
              </w:rPr>
            </w:pPr>
            <w:r>
              <w:rPr>
                <w:bCs/>
                <w:szCs w:val="24"/>
                <w:lang w:eastAsia="lt-LT"/>
              </w:rPr>
              <w:t xml:space="preserve">Plėtojant dviračiams ir pėstiesiems skirtą infrastruktūrą, bus skatinama </w:t>
            </w:r>
            <w:proofErr w:type="spellStart"/>
            <w:r>
              <w:rPr>
                <w:bCs/>
                <w:szCs w:val="24"/>
                <w:lang w:eastAsia="lt-LT"/>
              </w:rPr>
              <w:t>bevariklio</w:t>
            </w:r>
            <w:proofErr w:type="spellEnd"/>
            <w:r>
              <w:rPr>
                <w:bCs/>
                <w:szCs w:val="24"/>
                <w:lang w:eastAsia="lt-LT"/>
              </w:rPr>
              <w:t xml:space="preserve"> transporto integracija, sukuriant palankias prielaidas gyventojams rinktis alternatyvų judėjimo būdą naudojant </w:t>
            </w:r>
            <w:proofErr w:type="spellStart"/>
            <w:r>
              <w:rPr>
                <w:bCs/>
                <w:szCs w:val="24"/>
                <w:lang w:eastAsia="lt-LT"/>
              </w:rPr>
              <w:t>bevarikles</w:t>
            </w:r>
            <w:proofErr w:type="spellEnd"/>
            <w:r>
              <w:rPr>
                <w:bCs/>
                <w:szCs w:val="24"/>
                <w:lang w:eastAsia="lt-LT"/>
              </w:rPr>
              <w:t xml:space="preserve"> transporto priemones. Vadovaujantis </w:t>
            </w:r>
            <w:r>
              <w:rPr>
                <w:szCs w:val="24"/>
              </w:rPr>
              <w:t xml:space="preserve">2021 m. birželio 24 d. Europos Parlamento ir Tarybos </w:t>
            </w:r>
            <w:r>
              <w:rPr>
                <w:color w:val="000000"/>
                <w:szCs w:val="24"/>
              </w:rPr>
              <w:t xml:space="preserve">reglamento </w:t>
            </w:r>
            <w:hyperlink r:id="rId6" w:tgtFrame="_blank" w:history="1">
              <w:r>
                <w:rPr>
                  <w:color w:val="467886" w:themeColor="hyperlink"/>
                  <w:szCs w:val="24"/>
                  <w:u w:val="single"/>
                </w:rPr>
                <w:t>(ES) 2021/1060</w:t>
              </w:r>
            </w:hyperlink>
            <w:r>
              <w:rPr>
                <w:szCs w:val="24"/>
              </w:rPr>
              <w:t xml:space="preserve">, kuriuo nustatomos bendros Europos regioninės plėtros fondo, „Europos socialinio </w:t>
            </w:r>
            <w:r>
              <w:rPr>
                <w:szCs w:val="24"/>
              </w:rPr>
              <w:lastRenderedPageBreak/>
              <w:t>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bCs/>
                <w:szCs w:val="24"/>
                <w:lang w:eastAsia="lt-LT"/>
              </w:rPr>
              <w:t xml:space="preserve"> I priedu taikomas 100 proc. paramos, siekiant su klimato kaita susijusių tikslų, skaičiavimo koeficientas (083). Planuojama įrengti infrastruktūra atitinka 2021 m. birželio 4 d</w:t>
            </w:r>
            <w:r>
              <w:rPr>
                <w:color w:val="1E1E1F"/>
                <w:szCs w:val="24"/>
                <w:shd w:val="clear" w:color="auto" w:fill="FFFFFF"/>
                <w:lang w:eastAsia="lt-LT"/>
              </w:rPr>
              <w:t xml:space="preserve">. Komisijos </w:t>
            </w:r>
            <w:r>
              <w:rPr>
                <w:bCs/>
                <w:szCs w:val="24"/>
                <w:lang w:eastAsia="lt-LT"/>
              </w:rPr>
              <w:t xml:space="preserve">deleguotojo reglamento </w:t>
            </w:r>
            <w:hyperlink r:id="rId7"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kuriuo Europos Parlamento ir Tarybos reglamentas </w:t>
            </w:r>
            <w:hyperlink r:id="rId8" w:tgtFrame="_blank" w:history="1">
              <w:r>
                <w:rPr>
                  <w:color w:val="467886" w:themeColor="hyperlink"/>
                  <w:szCs w:val="24"/>
                  <w:u w:val="single"/>
                  <w:lang w:eastAsia="lt-LT"/>
                </w:rPr>
                <w:t>(ES) 2020/852</w:t>
              </w:r>
            </w:hyperlink>
            <w:r>
              <w:rPr>
                <w:szCs w:val="24"/>
                <w:lang w:eastAsia="lt-LT"/>
              </w:rP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I ir II priedo 6.13 punkte „</w:t>
            </w:r>
            <w:proofErr w:type="spellStart"/>
            <w:r>
              <w:rPr>
                <w:szCs w:val="24"/>
                <w:lang w:eastAsia="lt-LT"/>
              </w:rPr>
              <w:t>Mikromobilumo</w:t>
            </w:r>
            <w:proofErr w:type="spellEnd"/>
            <w:r>
              <w:rPr>
                <w:szCs w:val="24"/>
                <w:lang w:eastAsia="lt-LT"/>
              </w:rPr>
              <w:t xml:space="preserve"> infrastruktūra, dviračių transporto logistika“ nurodytus svaraus prisidėjimo kriterijus.</w:t>
            </w:r>
          </w:p>
          <w:p w14:paraId="3EB688C6" w14:textId="77777777" w:rsidR="00C54C8B" w:rsidRDefault="00C54C8B" w:rsidP="00D80EE8">
            <w:pPr>
              <w:jc w:val="both"/>
              <w:rPr>
                <w:rFonts w:eastAsia="Calibri"/>
                <w:bCs/>
                <w:i/>
                <w:szCs w:val="24"/>
                <w:lang w:eastAsia="lt-LT"/>
              </w:rPr>
            </w:pPr>
            <w:r>
              <w:rPr>
                <w:szCs w:val="24"/>
                <w:lang w:eastAsia="lt-LT"/>
              </w:rPr>
              <w:t>Įgyvendinant veiklą bus numatytas projektų vykdytojų ir (ar) partnerių</w:t>
            </w:r>
            <w:r>
              <w:rPr>
                <w:color w:val="0070C0"/>
                <w:szCs w:val="24"/>
                <w:lang w:eastAsia="lt-LT"/>
              </w:rPr>
              <w:t xml:space="preserve"> </w:t>
            </w:r>
            <w:r>
              <w:rPr>
                <w:szCs w:val="24"/>
                <w:lang w:eastAsia="lt-LT"/>
              </w:rPr>
              <w:t>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tc>
        <w:tc>
          <w:tcPr>
            <w:tcW w:w="5331" w:type="dxa"/>
            <w:tcBorders>
              <w:top w:val="single" w:sz="4" w:space="0" w:color="auto"/>
              <w:left w:val="single" w:sz="4" w:space="0" w:color="auto"/>
              <w:bottom w:val="single" w:sz="4" w:space="0" w:color="auto"/>
              <w:right w:val="single" w:sz="4" w:space="0" w:color="auto"/>
            </w:tcBorders>
            <w:hideMark/>
          </w:tcPr>
          <w:p w14:paraId="7BA9F76E" w14:textId="77777777" w:rsidR="00C54C8B" w:rsidRDefault="00C54C8B" w:rsidP="00D80EE8">
            <w:pPr>
              <w:tabs>
                <w:tab w:val="left" w:pos="34"/>
                <w:tab w:val="left" w:pos="473"/>
              </w:tabs>
              <w:jc w:val="both"/>
              <w:rPr>
                <w:rFonts w:eastAsia="Calibri"/>
                <w:iCs/>
                <w:szCs w:val="24"/>
                <w:lang w:eastAsia="lt-LT"/>
              </w:rPr>
            </w:pPr>
            <w:r>
              <w:rPr>
                <w:rFonts w:eastAsia="Calibri"/>
                <w:iCs/>
                <w:szCs w:val="24"/>
                <w:lang w:eastAsia="lt-LT"/>
              </w:rPr>
              <w:lastRenderedPageBreak/>
              <w:t>Pagrindimo dokumentai neteikiami.</w:t>
            </w:r>
          </w:p>
        </w:tc>
      </w:tr>
      <w:tr w:rsidR="00C54C8B" w14:paraId="7A0CDF8D"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33410985"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2.</w:t>
            </w:r>
            <w:r>
              <w:rPr>
                <w:rFonts w:eastAsia="Calibri"/>
                <w:szCs w:val="24"/>
                <w:lang w:eastAsia="lt-LT"/>
              </w:rPr>
              <w:tab/>
              <w:t>Prisitaikymas prie klimato kaitos</w:t>
            </w:r>
          </w:p>
        </w:tc>
        <w:tc>
          <w:tcPr>
            <w:tcW w:w="6257" w:type="dxa"/>
            <w:tcBorders>
              <w:top w:val="single" w:sz="4" w:space="0" w:color="auto"/>
              <w:left w:val="single" w:sz="4" w:space="0" w:color="auto"/>
              <w:bottom w:val="single" w:sz="4" w:space="0" w:color="auto"/>
              <w:right w:val="single" w:sz="4" w:space="0" w:color="auto"/>
            </w:tcBorders>
          </w:tcPr>
          <w:p w14:paraId="61171279" w14:textId="77777777" w:rsidR="00C54C8B" w:rsidRDefault="00C54C8B" w:rsidP="00D80EE8">
            <w:pPr>
              <w:ind w:left="51"/>
              <w:jc w:val="both"/>
              <w:rPr>
                <w:szCs w:val="24"/>
                <w:lang w:eastAsia="lt-LT"/>
              </w:rPr>
            </w:pPr>
            <w:r>
              <w:rPr>
                <w:szCs w:val="24"/>
                <w:lang w:eastAsia="lt-LT"/>
              </w:rPr>
              <w:t xml:space="preserve">Vertinama, kad planuojama įgyvendinti </w:t>
            </w:r>
            <w:proofErr w:type="spellStart"/>
            <w:r>
              <w:rPr>
                <w:szCs w:val="24"/>
                <w:lang w:eastAsia="lt-LT"/>
              </w:rPr>
              <w:t>poveiklė</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neturi jokio numatomo poveikio šiam aplinkos tikslui arba numatomas jos poveikis yra nereikšmingas, t. y. nedaro tiesioginio ir pirminio netiesioginio poveikio per visą gyvavimo ciklą, todėl laikoma, kad veiksmai (veiklos) atitinka klimato kaitos švelninimo tikslą ir neturės neigiamos įtakos žmonėms, gamtai ar turtui.</w:t>
            </w:r>
          </w:p>
          <w:p w14:paraId="4D2CA005" w14:textId="77777777" w:rsidR="00C54C8B" w:rsidRDefault="00C54C8B" w:rsidP="00D80EE8">
            <w:pPr>
              <w:ind w:left="51"/>
              <w:jc w:val="both"/>
              <w:rPr>
                <w:szCs w:val="24"/>
                <w:lang w:eastAsia="lt-LT"/>
              </w:rPr>
            </w:pPr>
            <w:r>
              <w:rPr>
                <w:szCs w:val="24"/>
                <w:lang w:eastAsia="lt-LT"/>
              </w:rPr>
              <w:t xml:space="preserve">Plėtojant </w:t>
            </w:r>
            <w:r>
              <w:rPr>
                <w:bCs/>
                <w:szCs w:val="24"/>
                <w:lang w:eastAsia="lt-LT"/>
              </w:rPr>
              <w:t>dviračiams ir pėstiesiems skirtą infrastruktūrą</w:t>
            </w:r>
            <w:r>
              <w:rPr>
                <w:szCs w:val="24"/>
                <w:lang w:eastAsia="lt-LT"/>
              </w:rPr>
              <w:t xml:space="preserve">, bus skatinama </w:t>
            </w:r>
            <w:proofErr w:type="spellStart"/>
            <w:r>
              <w:rPr>
                <w:szCs w:val="24"/>
                <w:lang w:eastAsia="lt-LT"/>
              </w:rPr>
              <w:t>bevariklio</w:t>
            </w:r>
            <w:proofErr w:type="spellEnd"/>
            <w:r>
              <w:rPr>
                <w:szCs w:val="24"/>
                <w:lang w:eastAsia="lt-LT"/>
              </w:rPr>
              <w:t xml:space="preserve"> transporto integracija, sukuriant palankias prielaidas gyventojams rinktis alternatyvų judėjimo būdą naudojant </w:t>
            </w:r>
            <w:proofErr w:type="spellStart"/>
            <w:r>
              <w:rPr>
                <w:szCs w:val="24"/>
                <w:lang w:eastAsia="lt-LT"/>
              </w:rPr>
              <w:t>bevarikles</w:t>
            </w:r>
            <w:proofErr w:type="spellEnd"/>
            <w:r>
              <w:rPr>
                <w:szCs w:val="24"/>
                <w:lang w:eastAsia="lt-LT"/>
              </w:rPr>
              <w:t xml:space="preserve"> transporto priemones. Vadovaujantis Reglamento </w:t>
            </w:r>
            <w:hyperlink r:id="rId9" w:tgtFrame="_blank" w:history="1">
              <w:r>
                <w:rPr>
                  <w:color w:val="467886" w:themeColor="hyperlink"/>
                  <w:szCs w:val="24"/>
                  <w:u w:val="single"/>
                  <w:lang w:eastAsia="lt-LT"/>
                </w:rPr>
                <w:t>(ES) 2021/1060</w:t>
              </w:r>
            </w:hyperlink>
            <w:r>
              <w:rPr>
                <w:szCs w:val="24"/>
                <w:lang w:eastAsia="lt-LT"/>
              </w:rPr>
              <w:t xml:space="preserve"> I priedu taikomas </w:t>
            </w:r>
            <w:r>
              <w:rPr>
                <w:szCs w:val="24"/>
                <w:lang w:eastAsia="lt-LT"/>
              </w:rPr>
              <w:lastRenderedPageBreak/>
              <w:t xml:space="preserve">100 proc. paramos, siekiant su klimato kaita susijusių tikslų, skaičiavimo koeficientas (083). </w:t>
            </w:r>
            <w:r>
              <w:rPr>
                <w:bCs/>
                <w:szCs w:val="24"/>
                <w:lang w:eastAsia="lt-LT"/>
              </w:rPr>
              <w:t xml:space="preserve">Planuojama infrastruktūra atitinka Deleguotojo reglamento </w:t>
            </w:r>
            <w:hyperlink r:id="rId10"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 „</w:t>
            </w:r>
            <w:proofErr w:type="spellStart"/>
            <w:r>
              <w:rPr>
                <w:szCs w:val="24"/>
                <w:lang w:eastAsia="lt-LT"/>
              </w:rPr>
              <w:t>Mikromobilumo</w:t>
            </w:r>
            <w:proofErr w:type="spellEnd"/>
            <w:r>
              <w:rPr>
                <w:szCs w:val="24"/>
                <w:lang w:eastAsia="lt-LT"/>
              </w:rPr>
              <w:t xml:space="preserve"> infrastruktūra, dviračių transporto logistika“ nurodytus svaraus prisidėjimo ir reikšmingos žalos nedarymo kriterijus.</w:t>
            </w:r>
          </w:p>
          <w:p w14:paraId="4403C784" w14:textId="77777777" w:rsidR="00C54C8B" w:rsidRDefault="00C54C8B" w:rsidP="00D80EE8">
            <w:pPr>
              <w:ind w:left="51"/>
              <w:jc w:val="both"/>
              <w:rPr>
                <w:szCs w:val="24"/>
                <w:lang w:eastAsia="lt-LT"/>
              </w:rPr>
            </w:pPr>
            <w:r>
              <w:rPr>
                <w:szCs w:val="24"/>
                <w:lang w:eastAsia="lt-LT"/>
              </w:rPr>
              <w:t>Įgyvendinant veiklą bus numatytas projektų vykdytojų ir (ar) partnerių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6009FBC7" w14:textId="77777777" w:rsidR="00C54C8B" w:rsidRDefault="00C54C8B" w:rsidP="00D80EE8">
            <w:pPr>
              <w:tabs>
                <w:tab w:val="left" w:pos="458"/>
              </w:tabs>
              <w:jc w:val="both"/>
              <w:rPr>
                <w:rFonts w:eastAsia="Calibri"/>
                <w:i/>
                <w:iCs/>
                <w:szCs w:val="24"/>
              </w:rPr>
            </w:pPr>
            <w:r>
              <w:rPr>
                <w:rFonts w:eastAsia="Calibri"/>
                <w:iCs/>
                <w:szCs w:val="24"/>
              </w:rPr>
              <w:lastRenderedPageBreak/>
              <w:t>Pagrindimo dokumentai neteikiami.</w:t>
            </w:r>
          </w:p>
        </w:tc>
      </w:tr>
      <w:tr w:rsidR="00C54C8B" w14:paraId="4D2F5153"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5AE91164"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3.</w:t>
            </w:r>
            <w:r>
              <w:rPr>
                <w:rFonts w:eastAsia="Calibri"/>
                <w:szCs w:val="24"/>
                <w:lang w:eastAsia="lt-LT"/>
              </w:rPr>
              <w:tab/>
              <w:t>Tausus vandens ir jūrų išteklių naudojimas ir apsauga</w:t>
            </w:r>
          </w:p>
        </w:tc>
        <w:tc>
          <w:tcPr>
            <w:tcW w:w="6257" w:type="dxa"/>
            <w:tcBorders>
              <w:top w:val="single" w:sz="4" w:space="0" w:color="auto"/>
              <w:left w:val="single" w:sz="4" w:space="0" w:color="auto"/>
              <w:bottom w:val="single" w:sz="4" w:space="0" w:color="auto"/>
              <w:right w:val="single" w:sz="4" w:space="0" w:color="auto"/>
            </w:tcBorders>
          </w:tcPr>
          <w:p w14:paraId="3A4D1C32"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bus vadovaujamasi Deleguotojo reglamento </w:t>
            </w:r>
            <w:hyperlink r:id="rId11"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(veiksmų įtaka yra numatyta Deleguotojo reglamento </w:t>
            </w:r>
            <w:hyperlink r:id="rId12" w:tgtFrame="_blank" w:history="1">
              <w:r>
                <w:rPr>
                  <w:color w:val="467886" w:themeColor="hyperlink"/>
                  <w:szCs w:val="24"/>
                  <w:u w:val="single"/>
                  <w:lang w:eastAsia="lt-LT"/>
                </w:rPr>
                <w:t>(ES) 2021/2139</w:t>
              </w:r>
            </w:hyperlink>
            <w:r>
              <w:rPr>
                <w:szCs w:val="24"/>
                <w:lang w:eastAsia="lt-LT"/>
              </w:rPr>
              <w:t xml:space="preserve"> I ir II priedo 6.13 punkte).</w:t>
            </w:r>
          </w:p>
          <w:p w14:paraId="3B3F6F19" w14:textId="77777777" w:rsidR="00C54C8B" w:rsidRDefault="00C54C8B" w:rsidP="00D80EE8">
            <w:pPr>
              <w:jc w:val="both"/>
              <w:rPr>
                <w:rFonts w:eastAsia="Calibri"/>
                <w:b/>
                <w:szCs w:val="24"/>
                <w:lang w:eastAsia="lt-LT"/>
              </w:rPr>
            </w:pPr>
            <w:r>
              <w:rPr>
                <w:bCs/>
                <w:szCs w:val="24"/>
                <w:lang w:eastAsia="lt-LT"/>
              </w:rPr>
              <w:t>Įgyvendinant veiklą nenumatoma kurti jokia infrastruktūra, kuri galėtų turėti poveikį tausiam vandens ir jūrų išteklių naudojimui: veiksmai (</w:t>
            </w:r>
            <w:proofErr w:type="spellStart"/>
            <w:r>
              <w:rPr>
                <w:bCs/>
                <w:szCs w:val="24"/>
                <w:lang w:eastAsia="lt-LT"/>
              </w:rPr>
              <w:t>poveiklės</w:t>
            </w:r>
            <w:proofErr w:type="spellEnd"/>
            <w:r>
              <w:rPr>
                <w:bCs/>
                <w:szCs w:val="24"/>
                <w:lang w:eastAsia="lt-LT"/>
              </w:rPr>
              <w:t>) neturi jokio tiesioginio ar netiesioginio neigiamo poveikio šiam aplinkos tikslui.</w:t>
            </w:r>
          </w:p>
        </w:tc>
        <w:tc>
          <w:tcPr>
            <w:tcW w:w="5331" w:type="dxa"/>
            <w:tcBorders>
              <w:top w:val="single" w:sz="4" w:space="0" w:color="auto"/>
              <w:left w:val="single" w:sz="4" w:space="0" w:color="auto"/>
              <w:bottom w:val="single" w:sz="4" w:space="0" w:color="auto"/>
              <w:right w:val="single" w:sz="4" w:space="0" w:color="auto"/>
            </w:tcBorders>
          </w:tcPr>
          <w:p w14:paraId="0B95F01F" w14:textId="77777777" w:rsidR="00C54C8B" w:rsidRDefault="00C54C8B" w:rsidP="00D80EE8">
            <w:pPr>
              <w:jc w:val="both"/>
            </w:pPr>
            <w:r>
              <w:rPr>
                <w:szCs w:val="24"/>
                <w:lang w:eastAsia="lt-LT"/>
              </w:rPr>
              <w:t xml:space="preserve">1. Pateikiama nuoroda į </w:t>
            </w:r>
            <w:r>
              <w:t>statinio</w:t>
            </w:r>
            <w:r>
              <w:rPr>
                <w:b/>
                <w:bCs/>
              </w:rPr>
              <w:t xml:space="preserve"> </w:t>
            </w:r>
            <w:r>
              <w:t>projektą</w:t>
            </w:r>
            <w:r>
              <w:rPr>
                <w:b/>
                <w:bCs/>
              </w:rPr>
              <w:t xml:space="preserve"> (</w:t>
            </w:r>
            <w:r>
              <w:t>jeigu</w:t>
            </w:r>
            <w:r>
              <w:rPr>
                <w:b/>
                <w:bCs/>
              </w:rPr>
              <w:t xml:space="preserve"> </w:t>
            </w:r>
            <w:r>
              <w:t>rangos darbai perkami atskirai</w:t>
            </w:r>
            <w:r>
              <w:rPr>
                <w:b/>
                <w:bCs/>
              </w:rPr>
              <w:t xml:space="preserve"> </w:t>
            </w:r>
            <w:r>
              <w:t>nuo projektavimo paslaugų);</w:t>
            </w:r>
            <w:r>
              <w:rPr>
                <w:b/>
                <w:bCs/>
              </w:rPr>
              <w:t xml:space="preserve"> </w:t>
            </w:r>
            <w:r>
              <w:t>techninė specifikacija (jeigu</w:t>
            </w:r>
            <w:r>
              <w:rPr>
                <w:b/>
                <w:bCs/>
              </w:rPr>
              <w:t xml:space="preserve"> </w:t>
            </w:r>
            <w:r>
              <w:t>rangos darbai perkami kartu</w:t>
            </w:r>
            <w:r>
              <w:rPr>
                <w:b/>
                <w:bCs/>
              </w:rPr>
              <w:t xml:space="preserve"> </w:t>
            </w:r>
            <w:r>
              <w:t>su projektavimo paslaugomis).</w:t>
            </w:r>
          </w:p>
          <w:p w14:paraId="1229872B" w14:textId="77777777" w:rsidR="00C54C8B" w:rsidRDefault="00C54C8B" w:rsidP="00D80EE8">
            <w:pPr>
              <w:jc w:val="both"/>
              <w:rPr>
                <w:bCs/>
                <w:szCs w:val="24"/>
                <w:lang w:eastAsia="lt-LT"/>
              </w:rPr>
            </w:pPr>
            <w:r>
              <w:rPr>
                <w:bCs/>
                <w:szCs w:val="24"/>
                <w:lang w:eastAsia="lt-LT"/>
              </w:rPr>
              <w:t xml:space="preserve">2. Vadovaujantis Lietuvos Respublikos planuojamos ūkinės veiklos poveikio aplinkai vertinimo įstatymu, iki projekto įgyvendinimo plano (toliau – PĮP) pateikimo pareiškėjas turi būti atlikęs poveikio aplinkai vertinimą (toliau – </w:t>
            </w:r>
            <w:r>
              <w:rPr>
                <w:szCs w:val="24"/>
                <w:lang w:eastAsia="lt-LT"/>
              </w:rPr>
              <w:t>PAV)</w:t>
            </w:r>
            <w:r>
              <w:rPr>
                <w:bCs/>
                <w:szCs w:val="24"/>
                <w:lang w:eastAsia="lt-LT"/>
              </w:rPr>
              <w:t xml:space="preserve"> ir turi būti pateikti atsakingos institucijos galiojantys dokumentai </w:t>
            </w:r>
            <w:r>
              <w:rPr>
                <w:bCs/>
                <w:i/>
                <w:iCs/>
                <w:szCs w:val="24"/>
                <w:lang w:eastAsia="lt-LT"/>
              </w:rPr>
              <w:t>(jeigu taikoma)</w:t>
            </w:r>
            <w:r>
              <w:rPr>
                <w:bCs/>
                <w:szCs w:val="24"/>
                <w:lang w:eastAsia="lt-LT"/>
              </w:rPr>
              <w:t xml:space="preserve">. </w:t>
            </w:r>
            <w:r>
              <w:t xml:space="preserve">Su PĮP pateikiama PAV ataskaita ir atsakingos institucijos galiojantis teigiamas sprendimas dėl planuojamos ūkinės veiklos galimybių, arba  galiojanti atrankos išvada, kad PAV neprivalomas, kai pagal Planuojamos ūkinės veiklos poveikio aplinkai vertinimo įstatymo nuostatas turi būti atliktos planuojamos ūkinės veiklos PAV procedūros </w:t>
            </w:r>
            <w:r>
              <w:rPr>
                <w:i/>
                <w:iCs/>
              </w:rPr>
              <w:t>(jei taikoma)</w:t>
            </w:r>
            <w:r>
              <w:t>, arba pateikiamas pagrindimas, kodėl nurodytos procedūros netaikomos</w:t>
            </w:r>
            <w:r>
              <w:rPr>
                <w:bCs/>
                <w:szCs w:val="24"/>
                <w:lang w:eastAsia="lt-LT"/>
              </w:rPr>
              <w:t>.</w:t>
            </w:r>
          </w:p>
          <w:p w14:paraId="5E332F0C" w14:textId="77777777" w:rsidR="00C54C8B" w:rsidRDefault="00C54C8B" w:rsidP="00D80EE8">
            <w:pPr>
              <w:jc w:val="both"/>
              <w:rPr>
                <w:color w:val="000000"/>
                <w:szCs w:val="24"/>
                <w:lang w:eastAsia="lt-LT"/>
              </w:rPr>
            </w:pPr>
          </w:p>
          <w:p w14:paraId="6CA0C290" w14:textId="77777777" w:rsidR="00C54C8B" w:rsidRDefault="00C54C8B" w:rsidP="00D80EE8">
            <w:pPr>
              <w:jc w:val="both"/>
              <w:rPr>
                <w:szCs w:val="24"/>
                <w:lang w:eastAsia="lt-LT"/>
              </w:rPr>
            </w:pPr>
            <w:r>
              <w:rPr>
                <w:rFonts w:eastAsia="Calibri"/>
                <w:bCs/>
                <w:szCs w:val="24"/>
                <w:lang w:eastAsia="lt-LT"/>
              </w:rPr>
              <w:t>3. K</w:t>
            </w:r>
            <w:r>
              <w:rPr>
                <w:color w:val="000000"/>
                <w:szCs w:val="24"/>
                <w:lang w:eastAsia="lt-LT"/>
              </w:rPr>
              <w:t>ai perkami rangos darbai kartu su projektavimo paslaugomis,</w:t>
            </w:r>
            <w:r>
              <w:rPr>
                <w:szCs w:val="24"/>
                <w:lang w:eastAsia="lt-LT"/>
              </w:rPr>
              <w:t xml:space="preserve"> pateikiamas statomos infrastruktūros ar </w:t>
            </w:r>
            <w:r>
              <w:rPr>
                <w:szCs w:val="24"/>
                <w:lang w:eastAsia="lt-LT"/>
              </w:rPr>
              <w:lastRenderedPageBreak/>
              <w:t>įrenginių vietovės su vietovės žemėlapio kopijomis, įrodančiomis, kad neplanuojama statyti jokios infrastruktūros ar įrenginių vandens telkinių apsaugos zonose, arti vandens telkinių, kur galėtų atsirasti neigiamas poveikis, pagrindimas.</w:t>
            </w:r>
          </w:p>
          <w:p w14:paraId="6E54FB08" w14:textId="77777777" w:rsidR="00C54C8B" w:rsidRDefault="00C54C8B" w:rsidP="00D80EE8">
            <w:pPr>
              <w:tabs>
                <w:tab w:val="left" w:pos="459"/>
              </w:tabs>
              <w:jc w:val="both"/>
              <w:rPr>
                <w:rFonts w:eastAsia="Calibri"/>
                <w:bCs/>
                <w:i/>
                <w:iCs/>
                <w:sz w:val="20"/>
                <w:szCs w:val="24"/>
                <w:lang w:eastAsia="lt-LT"/>
              </w:rPr>
            </w:pPr>
            <w:r>
              <w:rPr>
                <w:rFonts w:eastAsia="Calibri"/>
                <w:bCs/>
                <w:szCs w:val="24"/>
                <w:lang w:eastAsia="lt-LT"/>
              </w:rPr>
              <w:t>4</w:t>
            </w:r>
            <w:r>
              <w:rPr>
                <w:szCs w:val="24"/>
                <w:lang w:eastAsia="lt-LT"/>
              </w:rPr>
              <w:t>. Kita aktuali informacija ir (ar) dokumentai.</w:t>
            </w:r>
          </w:p>
        </w:tc>
      </w:tr>
      <w:tr w:rsidR="00C54C8B" w14:paraId="6D092E73"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2B4FBAE4"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lastRenderedPageBreak/>
              <w:t>4.</w:t>
            </w:r>
            <w:r>
              <w:rPr>
                <w:rFonts w:eastAsia="Calibri"/>
                <w:szCs w:val="24"/>
                <w:lang w:eastAsia="lt-LT"/>
              </w:rPr>
              <w:tab/>
              <w:t>Perėjimas prie žiedinės ekonomikos, įskaitant atliekų prevenciją ir perdirbimą</w:t>
            </w:r>
          </w:p>
        </w:tc>
        <w:tc>
          <w:tcPr>
            <w:tcW w:w="6257" w:type="dxa"/>
            <w:tcBorders>
              <w:top w:val="single" w:sz="4" w:space="0" w:color="auto"/>
              <w:left w:val="single" w:sz="4" w:space="0" w:color="auto"/>
              <w:bottom w:val="single" w:sz="4" w:space="0" w:color="auto"/>
              <w:right w:val="single" w:sz="4" w:space="0" w:color="auto"/>
            </w:tcBorders>
          </w:tcPr>
          <w:p w14:paraId="2CC17939"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savivaldybėse“,</w:t>
            </w:r>
            <w:r>
              <w:rPr>
                <w:szCs w:val="24"/>
                <w:lang w:eastAsia="lt-LT"/>
              </w:rPr>
              <w:t xml:space="preserve"> bus vadovaujamasi Deleguotojo reglamento </w:t>
            </w:r>
            <w:hyperlink r:id="rId13"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14"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w:t>
            </w:r>
          </w:p>
          <w:p w14:paraId="1554429F" w14:textId="77777777" w:rsidR="00C54C8B" w:rsidRDefault="00C54C8B" w:rsidP="00D80EE8">
            <w:pPr>
              <w:ind w:left="10"/>
              <w:jc w:val="both"/>
              <w:rPr>
                <w:szCs w:val="24"/>
              </w:rPr>
            </w:pPr>
            <w:r>
              <w:rPr>
                <w:szCs w:val="24"/>
              </w:rPr>
              <w:t>Planuojamos veiklos turės atitikti statybos techninių reglamentų bei kitų teisės aktų reikalavimus, bus užtikrinamas efektyvus atliekų surinkimas, skatinamas atskirų dalių pakartotinis naudojimas, statytojams bus numatyti reikalavimai riboti atliekų susidarymą statybos metu, taikyti naujausius metodus, pakartotinį medžiagų naudojimą ar perdirbimą, naudojantis pažangiomis statybinių atliekų rūšiavimo sistemomis. Todėl laikoma, kad veiklos atitinka žiedinės ekonomikos tikslą. Numatoma:</w:t>
            </w:r>
          </w:p>
          <w:p w14:paraId="5C8C891A" w14:textId="77777777" w:rsidR="00C54C8B" w:rsidRDefault="00C54C8B" w:rsidP="00D80EE8">
            <w:pPr>
              <w:jc w:val="both"/>
              <w:rPr>
                <w:szCs w:val="24"/>
              </w:rPr>
            </w:pPr>
            <w:r>
              <w:rPr>
                <w:szCs w:val="24"/>
              </w:rPr>
              <w:t>- mažiausiai 70 proc. (pagal svorį) nepavojingų statybvietėje susidarančių atliekų (išskyrus natūraliai atsirandančias medžiagas, nurodytas Europos sąrašo 17 05 04 kategorijoje) (</w:t>
            </w:r>
            <w:r>
              <w:t>2000 m. gegužės 3 d</w:t>
            </w:r>
            <w:r>
              <w:rPr>
                <w:szCs w:val="24"/>
              </w:rPr>
              <w:t xml:space="preserve"> K</w:t>
            </w:r>
            <w:r>
              <w:t xml:space="preserve">omisijos sprendimas, </w:t>
            </w:r>
            <w:r>
              <w:br/>
              <w:t xml:space="preserve">keičiantis sprendimą </w:t>
            </w:r>
            <w:hyperlink r:id="rId15" w:tgtFrame="_blank" w:history="1">
              <w:r>
                <w:rPr>
                  <w:color w:val="467886" w:themeColor="hyperlink"/>
                  <w:u w:val="single"/>
                </w:rPr>
                <w:t>94/3/EB</w:t>
              </w:r>
            </w:hyperlink>
            <w:r>
              <w:t xml:space="preserve">, nustatantį atliekų sąrašą pagal Tarybos direktyvos </w:t>
            </w:r>
            <w:hyperlink r:id="rId16" w:tgtFrame="_blank" w:history="1">
              <w:r>
                <w:rPr>
                  <w:color w:val="467886" w:themeColor="hyperlink"/>
                  <w:u w:val="single"/>
                </w:rPr>
                <w:t>75/442/EEB</w:t>
              </w:r>
            </w:hyperlink>
            <w:r>
              <w:t xml:space="preserve"> dėl atliekų</w:t>
            </w:r>
            <w:r>
              <w:br/>
              <w:t xml:space="preserve">1 straipsnio a dalį, ir Tarybos sprendimą </w:t>
            </w:r>
            <w:hyperlink r:id="rId17" w:tgtFrame="_blank" w:history="1">
              <w:r>
                <w:rPr>
                  <w:color w:val="467886" w:themeColor="hyperlink"/>
                  <w:u w:val="single"/>
                </w:rPr>
                <w:t>94/904/EB</w:t>
              </w:r>
            </w:hyperlink>
            <w:r>
              <w:t>, nustatantį pavojingų atliekų sąrašą pagal Tarybos</w:t>
            </w:r>
            <w:r>
              <w:br/>
              <w:t xml:space="preserve">direktyvos </w:t>
            </w:r>
            <w:hyperlink r:id="rId18" w:tgtFrame="_blank" w:history="1">
              <w:r>
                <w:rPr>
                  <w:color w:val="467886" w:themeColor="hyperlink"/>
                  <w:u w:val="single"/>
                </w:rPr>
                <w:t>91/689/EEB</w:t>
              </w:r>
            </w:hyperlink>
            <w:r>
              <w:t xml:space="preserve"> dėl pavojingų medžiagų 1 straipsnio 4 </w:t>
            </w:r>
            <w:r>
              <w:lastRenderedPageBreak/>
              <w:t>dalį</w:t>
            </w:r>
            <w:r>
              <w:rPr>
                <w:szCs w:val="24"/>
              </w:rPr>
              <w:t xml:space="preserve">) turėtų būti parengtos pakartotiniam naudojimui, perdirbimui ir kitoms medžiagų panaudojimo galimybėms, įskaitant užpildymo operacijas, naudojant atliekas kitoms medžiagoms pakeisti, laikantis atliekų hierarchijos ir ES statybos ir griovimo atliekų tvarkymo protokolo; </w:t>
            </w:r>
          </w:p>
          <w:p w14:paraId="1674A541" w14:textId="77777777" w:rsidR="00C54C8B" w:rsidRDefault="00C54C8B" w:rsidP="00D80EE8">
            <w:pPr>
              <w:jc w:val="both"/>
              <w:rPr>
                <w:szCs w:val="24"/>
              </w:rPr>
            </w:pPr>
            <w:r>
              <w:rPr>
                <w:szCs w:val="24"/>
              </w:rPr>
              <w:t>- rangovai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13F47D4A" w14:textId="77777777" w:rsidR="00C54C8B" w:rsidRDefault="00C54C8B" w:rsidP="00D80EE8">
            <w:pPr>
              <w:jc w:val="both"/>
              <w:rPr>
                <w:szCs w:val="24"/>
              </w:rPr>
            </w:pPr>
            <w:r>
              <w:rPr>
                <w:szCs w:val="24"/>
              </w:rPr>
              <w:t xml:space="preserve">- naudoti ir kokybiškai perdirbti turimas statybinių ir griovimo atliekų rūšiavimo sistemas. </w:t>
            </w:r>
          </w:p>
          <w:p w14:paraId="25774F15" w14:textId="77777777" w:rsidR="00C54C8B" w:rsidRDefault="00C54C8B" w:rsidP="00D80EE8">
            <w:pPr>
              <w:ind w:left="10"/>
              <w:jc w:val="both"/>
              <w:rPr>
                <w:szCs w:val="24"/>
              </w:rPr>
            </w:pPr>
            <w:r>
              <w:rPr>
                <w:szCs w:val="24"/>
              </w:rPr>
              <w:t>Įgyvendinant veiklas bus užtikrintas 2008 m. lapkričio 19 d. Europos Parlamento ir Tarybos direktyvo</w:t>
            </w:r>
            <w:r>
              <w:t>s</w:t>
            </w:r>
            <w:r>
              <w:rPr>
                <w:szCs w:val="24"/>
              </w:rPr>
              <w:t xml:space="preserve"> </w:t>
            </w:r>
            <w:hyperlink r:id="rId19" w:tgtFrame="_blank" w:history="1">
              <w:r>
                <w:rPr>
                  <w:color w:val="467886" w:themeColor="hyperlink"/>
                  <w:szCs w:val="24"/>
                  <w:u w:val="single"/>
                </w:rPr>
                <w:t>2008/98/EB</w:t>
              </w:r>
            </w:hyperlink>
            <w:r>
              <w:rPr>
                <w:szCs w:val="24"/>
              </w:rPr>
              <w:t xml:space="preserve"> dėl atliekų ir panaikinančios kai kurias direktyvas reikalavimų laikymasis, įpareigojant jų laikytis projektų vykdytojus.</w:t>
            </w:r>
          </w:p>
          <w:p w14:paraId="6D21B23E" w14:textId="77777777" w:rsidR="00C54C8B" w:rsidRDefault="00C54C8B" w:rsidP="00D80EE8">
            <w:pPr>
              <w:ind w:left="10"/>
              <w:jc w:val="both"/>
              <w:rPr>
                <w:rFonts w:eastAsia="Calibri"/>
                <w:bCs/>
                <w:szCs w:val="24"/>
              </w:rPr>
            </w:pPr>
            <w:r>
              <w:rPr>
                <w:szCs w:val="24"/>
              </w:rPr>
              <w:t>Įgyvendinant veiklas bus numatytas projektų vykdytojų ir (ar) partnerių  įsipareigojimas laikytis Europos Komisijos tvarumo tikrinimo gairių, priimtų siekiant užtikrinti „</w:t>
            </w:r>
            <w:proofErr w:type="spellStart"/>
            <w:r>
              <w:rPr>
                <w:szCs w:val="24"/>
              </w:rPr>
              <w:t>InvestEU</w:t>
            </w:r>
            <w:proofErr w:type="spellEnd"/>
            <w:r>
              <w:rPr>
                <w:szCs w:val="24"/>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40BFD7A7" w14:textId="77777777" w:rsidR="00C54C8B" w:rsidRDefault="00C54C8B" w:rsidP="00D80EE8">
            <w:pPr>
              <w:jc w:val="both"/>
              <w:rPr>
                <w:szCs w:val="24"/>
                <w:lang w:eastAsia="lt-LT"/>
              </w:rPr>
            </w:pPr>
            <w:r>
              <w:rPr>
                <w:szCs w:val="24"/>
                <w:lang w:eastAsia="lt-LT"/>
              </w:rPr>
              <w:lastRenderedPageBreak/>
              <w:t xml:space="preserve">1. Pateikiama nuoroda į statinio </w:t>
            </w:r>
            <w:r>
              <w:t>projektą</w:t>
            </w:r>
            <w:r>
              <w:rPr>
                <w:b/>
                <w:bCs/>
              </w:rPr>
              <w:t xml:space="preserve"> (</w:t>
            </w:r>
            <w:r>
              <w:t>jeigu</w:t>
            </w:r>
            <w:r>
              <w:rPr>
                <w:b/>
                <w:bCs/>
              </w:rPr>
              <w:t xml:space="preserve"> </w:t>
            </w:r>
            <w:r>
              <w:t>rangos darbai perkami atskirai</w:t>
            </w:r>
            <w:r>
              <w:rPr>
                <w:b/>
                <w:bCs/>
              </w:rPr>
              <w:t xml:space="preserve"> </w:t>
            </w:r>
            <w:r>
              <w:t>nuo projektavimo paslaugų);</w:t>
            </w:r>
            <w:r>
              <w:rPr>
                <w:b/>
                <w:bCs/>
              </w:rPr>
              <w:t xml:space="preserve"> </w:t>
            </w:r>
            <w:r>
              <w:t>techninė specifikacija (jeigu</w:t>
            </w:r>
            <w:r>
              <w:rPr>
                <w:b/>
                <w:bCs/>
              </w:rPr>
              <w:t xml:space="preserve"> </w:t>
            </w:r>
            <w:r>
              <w:t>rangos darbai perkami kartu</w:t>
            </w:r>
            <w:r>
              <w:rPr>
                <w:b/>
                <w:bCs/>
              </w:rPr>
              <w:t xml:space="preserve"> </w:t>
            </w:r>
            <w:r>
              <w:t>su projektavimo paslaugomis). Šiuose dokumentuose turi būti</w:t>
            </w:r>
            <w:r>
              <w:rPr>
                <w:szCs w:val="24"/>
                <w:lang w:eastAsia="lt-LT"/>
              </w:rPr>
              <w:t xml:space="preserve"> numatyti reikalavimai dėl atliekų susidarymo, vadovaujantis Statybinių atliekų tvarkymo taisyklėmis, patvirtintomis Lietuvos Respublikos aplinkos ministro 2006 m. gruodžio 29 d. įsakymu Nr. D1-637 „Dėl Statybinių atliekų tvarkymo taisyklių patvirtinimo“, kurios aiškiai apibrėžia atliekų rūšiavimą statybvietėje.</w:t>
            </w:r>
          </w:p>
          <w:p w14:paraId="1AC10780" w14:textId="77777777" w:rsidR="00C54C8B" w:rsidRDefault="00C54C8B" w:rsidP="00D80EE8">
            <w:pPr>
              <w:tabs>
                <w:tab w:val="left" w:pos="301"/>
              </w:tabs>
              <w:ind w:left="42"/>
              <w:jc w:val="both"/>
              <w:rPr>
                <w:rFonts w:eastAsia="Calibri"/>
                <w:szCs w:val="24"/>
              </w:rPr>
            </w:pPr>
            <w:r>
              <w:rPr>
                <w:rFonts w:eastAsia="Calibri"/>
                <w:szCs w:val="24"/>
              </w:rPr>
              <w:t>2. Statybvietėje pildomas atliekų apskaitos žurnalas, tvarkoma susidariusių ir perduotų tvarkyti statybinių atliekų apskaita, nurodomas jų kiekis, rengiamos atliekų apskaitos ataskaitos.</w:t>
            </w:r>
          </w:p>
          <w:p w14:paraId="7A496734" w14:textId="77777777" w:rsidR="00C54C8B" w:rsidRDefault="00C54C8B" w:rsidP="00D80EE8">
            <w:pPr>
              <w:tabs>
                <w:tab w:val="left" w:pos="299"/>
              </w:tabs>
              <w:ind w:left="16"/>
              <w:jc w:val="both"/>
              <w:rPr>
                <w:rFonts w:eastAsia="Calibri"/>
                <w:i/>
                <w:iCs/>
                <w:szCs w:val="24"/>
              </w:rPr>
            </w:pPr>
            <w:r>
              <w:rPr>
                <w:szCs w:val="24"/>
              </w:rPr>
              <w:t>3. Kita aktuali informacija ir (ar) dokumentai.</w:t>
            </w:r>
          </w:p>
        </w:tc>
      </w:tr>
      <w:tr w:rsidR="00C54C8B" w14:paraId="002CC13D"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1447D5A9" w14:textId="77777777" w:rsidR="00C54C8B" w:rsidRDefault="00C54C8B" w:rsidP="00D80EE8">
            <w:pPr>
              <w:tabs>
                <w:tab w:val="left" w:pos="289"/>
              </w:tabs>
              <w:ind w:firstLine="5"/>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bCs/>
                <w:szCs w:val="24"/>
                <w:lang w:eastAsia="lt-LT"/>
              </w:rPr>
              <w:t>Oro, vandens ar žemės taršos prevencija ir kontrolė</w:t>
            </w:r>
          </w:p>
        </w:tc>
        <w:tc>
          <w:tcPr>
            <w:tcW w:w="6257" w:type="dxa"/>
            <w:tcBorders>
              <w:top w:val="single" w:sz="4" w:space="0" w:color="auto"/>
              <w:left w:val="single" w:sz="4" w:space="0" w:color="auto"/>
              <w:bottom w:val="single" w:sz="4" w:space="0" w:color="auto"/>
              <w:right w:val="single" w:sz="4" w:space="0" w:color="auto"/>
            </w:tcBorders>
          </w:tcPr>
          <w:p w14:paraId="22DC6CD1"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bus vadovaujamasi Deleguotojo reglamento </w:t>
            </w:r>
            <w:hyperlink r:id="rId20"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21"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w:t>
            </w:r>
          </w:p>
          <w:p w14:paraId="7D475F25" w14:textId="77777777" w:rsidR="00C54C8B" w:rsidRDefault="00C54C8B" w:rsidP="00D80EE8">
            <w:pPr>
              <w:jc w:val="both"/>
              <w:rPr>
                <w:szCs w:val="24"/>
                <w:lang w:eastAsia="lt-LT"/>
              </w:rPr>
            </w:pPr>
            <w:proofErr w:type="spellStart"/>
            <w:r>
              <w:rPr>
                <w:bCs/>
                <w:szCs w:val="24"/>
                <w:lang w:eastAsia="lt-LT"/>
              </w:rPr>
              <w:t>Poveiklė</w:t>
            </w:r>
            <w:proofErr w:type="spellEnd"/>
            <w:r>
              <w:rPr>
                <w:bCs/>
                <w:szCs w:val="24"/>
                <w:lang w:eastAsia="lt-LT"/>
              </w:rPr>
              <w:t xml:space="preserve"> neturės jokio neigiamo tiesioginio ar netiesioginio poveikio šiam aplinkos tikslui, nes plėtojant </w:t>
            </w:r>
            <w:proofErr w:type="spellStart"/>
            <w:r>
              <w:rPr>
                <w:bCs/>
                <w:szCs w:val="24"/>
                <w:lang w:eastAsia="lt-LT"/>
              </w:rPr>
              <w:t>bevariklio</w:t>
            </w:r>
            <w:proofErr w:type="spellEnd"/>
            <w:r>
              <w:rPr>
                <w:bCs/>
                <w:szCs w:val="24"/>
                <w:lang w:eastAsia="lt-LT"/>
              </w:rPr>
              <w:t xml:space="preserve"> transporto ir pėsčiųjų infrastruktūrą, sudaromos sąlygos vietoj </w:t>
            </w:r>
            <w:r>
              <w:rPr>
                <w:bCs/>
                <w:szCs w:val="24"/>
                <w:lang w:eastAsia="lt-LT"/>
              </w:rPr>
              <w:lastRenderedPageBreak/>
              <w:t xml:space="preserve">motorinių transporto priemonių rinktis bemotores transporto priemones arba judėjimą pėsčiomis. </w:t>
            </w:r>
          </w:p>
          <w:p w14:paraId="361A0AC0" w14:textId="77777777" w:rsidR="00C54C8B" w:rsidRDefault="00C54C8B" w:rsidP="00D80EE8">
            <w:pPr>
              <w:ind w:firstLine="62"/>
              <w:jc w:val="both"/>
              <w:rPr>
                <w:szCs w:val="24"/>
                <w:lang w:eastAsia="lt-LT"/>
              </w:rPr>
            </w:pPr>
            <w:r>
              <w:rPr>
                <w:szCs w:val="24"/>
                <w:lang w:eastAsia="lt-LT"/>
              </w:rPr>
              <w:t>Įgyvendinant veiklas bus numatytas projektų vykdytojų ir (ar) partnerių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p w14:paraId="201B286A" w14:textId="77777777" w:rsidR="00C54C8B" w:rsidRDefault="00C54C8B" w:rsidP="00D80EE8">
            <w:pPr>
              <w:jc w:val="both"/>
              <w:rPr>
                <w:szCs w:val="24"/>
                <w:lang w:eastAsia="lt-LT"/>
              </w:rPr>
            </w:pPr>
            <w:r>
              <w:rPr>
                <w:szCs w:val="24"/>
                <w:lang w:eastAsia="lt-LT"/>
              </w:rPr>
              <w:t xml:space="preserve">Nenumatoma, kad įgyvendinant veiksmus padidės teršalų išmetimas į orą, vandenį ar žemę, kadangi: </w:t>
            </w:r>
          </w:p>
          <w:p w14:paraId="4CEA3AFB" w14:textId="77777777" w:rsidR="00C54C8B" w:rsidRDefault="00C54C8B" w:rsidP="00D80EE8">
            <w:pPr>
              <w:ind w:left="30"/>
              <w:jc w:val="both"/>
              <w:rPr>
                <w:szCs w:val="24"/>
                <w:lang w:eastAsia="lt-LT"/>
              </w:rPr>
            </w:pPr>
            <w:r>
              <w:rPr>
                <w:szCs w:val="24"/>
                <w:lang w:eastAsia="lt-LT"/>
              </w:rPr>
              <w:t xml:space="preserve">- statybose naudojamose statybinėse dalyse ir medžiagose nėra asbesto ir labai didelį susirūpinimą keliančių medžiagų, nustatytų remiantis medžiagų, kurioms reikalingas leidimas, sąrašu, nurodytu 2006 m. gruodžio 18 d. Europos Parlamento ir Tarybos reglamento </w:t>
            </w:r>
            <w:hyperlink r:id="rId22" w:tgtFrame="_blank" w:history="1">
              <w:r>
                <w:rPr>
                  <w:color w:val="467886" w:themeColor="hyperlink"/>
                  <w:szCs w:val="24"/>
                  <w:u w:val="single"/>
                  <w:lang w:eastAsia="lt-LT"/>
                </w:rPr>
                <w:t>(EB) Nr. 1907/2006</w:t>
              </w:r>
            </w:hyperlink>
            <w:r>
              <w:rPr>
                <w:szCs w:val="24"/>
                <w:lang w:eastAsia="lt-LT"/>
              </w:rPr>
              <w:t xml:space="preserve"> dėl cheminių medžiagų registracijos, įvertinimo, autorizacijos ir apribojimų (REACH), įsteigiančio Europos cheminių medžiagų agentūrą, iš dalies keičiančio Direktyvą </w:t>
            </w:r>
            <w:hyperlink r:id="rId23" w:tgtFrame="_blank" w:history="1">
              <w:r>
                <w:rPr>
                  <w:color w:val="467886" w:themeColor="hyperlink"/>
                  <w:szCs w:val="24"/>
                  <w:u w:val="single"/>
                  <w:lang w:eastAsia="lt-LT"/>
                </w:rPr>
                <w:t>1999/45/EB</w:t>
              </w:r>
            </w:hyperlink>
            <w:r>
              <w:rPr>
                <w:szCs w:val="24"/>
                <w:lang w:eastAsia="lt-LT"/>
              </w:rPr>
              <w:t xml:space="preserve"> bei panaikinančio Tarybos reglamentą </w:t>
            </w:r>
            <w:hyperlink r:id="rId24" w:tgtFrame="_blank" w:history="1">
              <w:r>
                <w:rPr>
                  <w:color w:val="467886" w:themeColor="hyperlink"/>
                  <w:szCs w:val="24"/>
                  <w:u w:val="single"/>
                  <w:lang w:eastAsia="lt-LT"/>
                </w:rPr>
                <w:t>(EEB) Nr. 793/93</w:t>
              </w:r>
            </w:hyperlink>
            <w:r>
              <w:rPr>
                <w:szCs w:val="24"/>
                <w:lang w:eastAsia="lt-LT"/>
              </w:rPr>
              <w:t xml:space="preserve">, Komisijos reglamentą </w:t>
            </w:r>
            <w:hyperlink r:id="rId25" w:tgtFrame="_blank" w:history="1">
              <w:r>
                <w:rPr>
                  <w:color w:val="467886" w:themeColor="hyperlink"/>
                  <w:szCs w:val="24"/>
                  <w:u w:val="single"/>
                  <w:lang w:eastAsia="lt-LT"/>
                </w:rPr>
                <w:t>(EB) Nr. 1488/94</w:t>
              </w:r>
            </w:hyperlink>
            <w:r>
              <w:rPr>
                <w:szCs w:val="24"/>
                <w:lang w:eastAsia="lt-LT"/>
              </w:rPr>
              <w:t xml:space="preserve">, Tarybos direktyvą </w:t>
            </w:r>
            <w:hyperlink r:id="rId26" w:tgtFrame="_blank" w:history="1">
              <w:r>
                <w:rPr>
                  <w:color w:val="467886" w:themeColor="hyperlink"/>
                  <w:szCs w:val="24"/>
                  <w:u w:val="single"/>
                  <w:lang w:eastAsia="lt-LT"/>
                </w:rPr>
                <w:t>76/769/EEB</w:t>
              </w:r>
            </w:hyperlink>
            <w:r>
              <w:rPr>
                <w:szCs w:val="24"/>
                <w:lang w:eastAsia="lt-LT"/>
              </w:rPr>
              <w:t xml:space="preserve"> ir Komisijos direktyvas </w:t>
            </w:r>
            <w:hyperlink r:id="rId27" w:tgtFrame="_blank" w:history="1">
              <w:r>
                <w:rPr>
                  <w:color w:val="467886" w:themeColor="hyperlink"/>
                  <w:szCs w:val="24"/>
                  <w:u w:val="single"/>
                  <w:lang w:eastAsia="lt-LT"/>
                </w:rPr>
                <w:t>91/155/EEB</w:t>
              </w:r>
            </w:hyperlink>
            <w:r>
              <w:rPr>
                <w:szCs w:val="24"/>
                <w:lang w:eastAsia="lt-LT"/>
              </w:rPr>
              <w:t xml:space="preserve">, </w:t>
            </w:r>
            <w:hyperlink r:id="rId28" w:tgtFrame="_blank" w:history="1">
              <w:r>
                <w:rPr>
                  <w:color w:val="467886" w:themeColor="hyperlink"/>
                  <w:szCs w:val="24"/>
                  <w:u w:val="single"/>
                  <w:lang w:eastAsia="lt-LT"/>
                </w:rPr>
                <w:t>93/67/EEB</w:t>
              </w:r>
            </w:hyperlink>
            <w:r>
              <w:rPr>
                <w:szCs w:val="24"/>
                <w:lang w:eastAsia="lt-LT"/>
              </w:rPr>
              <w:t xml:space="preserve">, </w:t>
            </w:r>
            <w:hyperlink r:id="rId29" w:tgtFrame="_blank" w:history="1">
              <w:r>
                <w:rPr>
                  <w:color w:val="467886" w:themeColor="hyperlink"/>
                  <w:szCs w:val="24"/>
                  <w:u w:val="single"/>
                  <w:lang w:eastAsia="lt-LT"/>
                </w:rPr>
                <w:t>93/105/EB</w:t>
              </w:r>
            </w:hyperlink>
            <w:r>
              <w:rPr>
                <w:szCs w:val="24"/>
                <w:lang w:eastAsia="lt-LT"/>
              </w:rPr>
              <w:t xml:space="preserve"> bei </w:t>
            </w:r>
            <w:hyperlink r:id="rId30" w:tgtFrame="_blank" w:history="1">
              <w:r>
                <w:rPr>
                  <w:color w:val="467886" w:themeColor="hyperlink"/>
                  <w:szCs w:val="24"/>
                  <w:u w:val="single"/>
                  <w:lang w:eastAsia="lt-LT"/>
                </w:rPr>
                <w:t>2000/21/EB</w:t>
              </w:r>
            </w:hyperlink>
            <w:r>
              <w:rPr>
                <w:szCs w:val="24"/>
                <w:lang w:eastAsia="lt-LT"/>
              </w:rPr>
              <w:t xml:space="preserve">, XIV priede; </w:t>
            </w:r>
          </w:p>
          <w:p w14:paraId="50E58C2B" w14:textId="77777777" w:rsidR="00C54C8B" w:rsidRDefault="00C54C8B" w:rsidP="00D80EE8">
            <w:pPr>
              <w:ind w:left="30"/>
              <w:jc w:val="both"/>
              <w:rPr>
                <w:szCs w:val="24"/>
                <w:lang w:eastAsia="lt-LT"/>
              </w:rPr>
            </w:pPr>
            <w:r>
              <w:rPr>
                <w:szCs w:val="24"/>
                <w:lang w:eastAsia="lt-LT"/>
              </w:rPr>
              <w:t>- imamasi priemonių sumažinti triukšmą, dulkes ir teršalus atliekant statybos ar priežiūros darbus.</w:t>
            </w:r>
          </w:p>
        </w:tc>
        <w:tc>
          <w:tcPr>
            <w:tcW w:w="5331" w:type="dxa"/>
            <w:tcBorders>
              <w:top w:val="single" w:sz="4" w:space="0" w:color="auto"/>
              <w:left w:val="single" w:sz="4" w:space="0" w:color="auto"/>
              <w:bottom w:val="single" w:sz="4" w:space="0" w:color="auto"/>
              <w:right w:val="single" w:sz="4" w:space="0" w:color="auto"/>
            </w:tcBorders>
          </w:tcPr>
          <w:p w14:paraId="113F376C" w14:textId="77777777" w:rsidR="00C54C8B" w:rsidRDefault="00C54C8B" w:rsidP="00D80EE8">
            <w:pPr>
              <w:jc w:val="both"/>
              <w:rPr>
                <w:szCs w:val="24"/>
                <w:lang w:eastAsia="lt-LT"/>
              </w:rPr>
            </w:pPr>
            <w:r>
              <w:rPr>
                <w:szCs w:val="24"/>
                <w:lang w:eastAsia="lt-LT"/>
              </w:rPr>
              <w:lastRenderedPageBreak/>
              <w:t xml:space="preserve">1. Pateikiama nuoroda į statinio </w:t>
            </w:r>
            <w:r>
              <w:t>projektą (jeigu</w:t>
            </w:r>
            <w:r>
              <w:rPr>
                <w:b/>
                <w:bCs/>
              </w:rPr>
              <w:t xml:space="preserve"> </w:t>
            </w:r>
            <w:r>
              <w:t>rangos darbai perkami atskirai</w:t>
            </w:r>
            <w:r>
              <w:rPr>
                <w:b/>
                <w:bCs/>
              </w:rPr>
              <w:t xml:space="preserve"> </w:t>
            </w:r>
            <w:r>
              <w:t>nuo projektavimo paslaugų);</w:t>
            </w:r>
            <w:r>
              <w:rPr>
                <w:b/>
                <w:bCs/>
              </w:rPr>
              <w:t xml:space="preserve"> </w:t>
            </w:r>
            <w:r>
              <w:t>techninė specifikacija (jeigu</w:t>
            </w:r>
            <w:r>
              <w:rPr>
                <w:b/>
                <w:bCs/>
              </w:rPr>
              <w:t xml:space="preserve"> </w:t>
            </w:r>
            <w:r>
              <w:t>rangos darbai perkami kartu</w:t>
            </w:r>
            <w:r>
              <w:rPr>
                <w:b/>
                <w:bCs/>
              </w:rPr>
              <w:t xml:space="preserve"> </w:t>
            </w:r>
            <w:r>
              <w:t xml:space="preserve">su projektavimo paslaugomis). Dokumentuose </w:t>
            </w:r>
            <w:r>
              <w:rPr>
                <w:strike/>
                <w:szCs w:val="24"/>
                <w:lang w:eastAsia="lt-LT"/>
              </w:rPr>
              <w:t xml:space="preserve"> </w:t>
            </w:r>
            <w:r>
              <w:rPr>
                <w:szCs w:val="24"/>
                <w:lang w:eastAsia="lt-LT"/>
              </w:rPr>
              <w:t>patvirtinama, kad projekto įgyvendinimo metu statybose naudojamose medžiagose nebus naudojama asbesto ir labai didelį susirūpinimą keliančių medžiagų.</w:t>
            </w:r>
          </w:p>
          <w:p w14:paraId="413DEFFE" w14:textId="77777777" w:rsidR="00C54C8B" w:rsidRDefault="00C54C8B" w:rsidP="00D80EE8">
            <w:pPr>
              <w:tabs>
                <w:tab w:val="left" w:pos="473"/>
              </w:tabs>
              <w:jc w:val="both"/>
              <w:rPr>
                <w:rFonts w:eastAsia="Calibri"/>
                <w:szCs w:val="24"/>
                <w:lang w:eastAsia="lt-LT"/>
              </w:rPr>
            </w:pPr>
            <w:r>
              <w:rPr>
                <w:rFonts w:eastAsia="Calibri"/>
                <w:szCs w:val="24"/>
                <w:lang w:eastAsia="lt-LT"/>
              </w:rPr>
              <w:t>2. Kita aktuali informacija ir (ar) dokumentai.</w:t>
            </w:r>
          </w:p>
        </w:tc>
      </w:tr>
      <w:tr w:rsidR="00C54C8B" w14:paraId="4307EFCA" w14:textId="77777777" w:rsidTr="00D80EE8">
        <w:tc>
          <w:tcPr>
            <w:tcW w:w="3261" w:type="dxa"/>
            <w:tcBorders>
              <w:top w:val="single" w:sz="4" w:space="0" w:color="auto"/>
              <w:left w:val="single" w:sz="4" w:space="0" w:color="auto"/>
              <w:bottom w:val="single" w:sz="4" w:space="0" w:color="auto"/>
              <w:right w:val="single" w:sz="4" w:space="0" w:color="auto"/>
            </w:tcBorders>
            <w:hideMark/>
          </w:tcPr>
          <w:p w14:paraId="4FFDEC18" w14:textId="77777777" w:rsidR="00C54C8B" w:rsidRDefault="00C54C8B" w:rsidP="00D80EE8">
            <w:pPr>
              <w:tabs>
                <w:tab w:val="left" w:pos="289"/>
              </w:tabs>
              <w:ind w:left="5" w:firstLine="5"/>
              <w:jc w:val="both"/>
              <w:rPr>
                <w:rFonts w:eastAsia="Calibri"/>
                <w:szCs w:val="24"/>
                <w:lang w:eastAsia="lt-LT"/>
              </w:rPr>
            </w:pPr>
            <w:r>
              <w:rPr>
                <w:rFonts w:eastAsia="Calibri"/>
                <w:szCs w:val="24"/>
                <w:lang w:eastAsia="lt-LT"/>
              </w:rPr>
              <w:t>6.</w:t>
            </w:r>
            <w:r>
              <w:rPr>
                <w:rFonts w:eastAsia="Calibri"/>
                <w:szCs w:val="24"/>
                <w:lang w:eastAsia="lt-LT"/>
              </w:rPr>
              <w:tab/>
              <w:t>Biologinės įvairovės ir ekosistemų apsauga ir atkūrimas</w:t>
            </w:r>
          </w:p>
        </w:tc>
        <w:tc>
          <w:tcPr>
            <w:tcW w:w="6257" w:type="dxa"/>
            <w:tcBorders>
              <w:top w:val="single" w:sz="4" w:space="0" w:color="auto"/>
              <w:left w:val="single" w:sz="4" w:space="0" w:color="auto"/>
              <w:bottom w:val="single" w:sz="4" w:space="0" w:color="auto"/>
              <w:right w:val="single" w:sz="4" w:space="0" w:color="auto"/>
            </w:tcBorders>
          </w:tcPr>
          <w:p w14:paraId="5B5731A1" w14:textId="77777777" w:rsidR="00C54C8B" w:rsidRDefault="00C54C8B" w:rsidP="00D80EE8">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savivaldybėse“,</w:t>
            </w:r>
            <w:r>
              <w:rPr>
                <w:szCs w:val="24"/>
                <w:lang w:eastAsia="lt-LT"/>
              </w:rPr>
              <w:t xml:space="preserve"> bus vadovaujamasi Deleguotojo reglamento </w:t>
            </w:r>
            <w:hyperlink r:id="rId31" w:tgtFrame="_blank" w:history="1">
              <w:r>
                <w:rPr>
                  <w:color w:val="467886"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32" w:tgtFrame="_blank" w:history="1">
              <w:r>
                <w:rPr>
                  <w:bCs/>
                  <w:color w:val="467886" w:themeColor="hyperlink"/>
                  <w:szCs w:val="24"/>
                  <w:u w:val="single"/>
                  <w:lang w:eastAsia="lt-LT"/>
                </w:rPr>
                <w:t>(</w:t>
              </w:r>
              <w:r>
                <w:rPr>
                  <w:color w:val="467886" w:themeColor="hyperlink"/>
                  <w:szCs w:val="24"/>
                  <w:u w:val="single"/>
                  <w:lang w:eastAsia="lt-LT"/>
                </w:rPr>
                <w:t>ES) 2021/2139</w:t>
              </w:r>
            </w:hyperlink>
            <w:r>
              <w:rPr>
                <w:szCs w:val="24"/>
                <w:lang w:eastAsia="lt-LT"/>
              </w:rPr>
              <w:t xml:space="preserve"> I ir II priedo 6.13 punkte).</w:t>
            </w:r>
          </w:p>
          <w:p w14:paraId="3B17DEB5" w14:textId="77777777" w:rsidR="00C54C8B" w:rsidRDefault="00C54C8B" w:rsidP="00D80EE8">
            <w:pPr>
              <w:jc w:val="both"/>
              <w:rPr>
                <w:szCs w:val="24"/>
                <w:lang w:eastAsia="lt-LT"/>
              </w:rPr>
            </w:pPr>
            <w:r>
              <w:rPr>
                <w:szCs w:val="24"/>
                <w:lang w:eastAsia="lt-LT"/>
              </w:rPr>
              <w:t xml:space="preserve">Pagal </w:t>
            </w:r>
            <w:r>
              <w:t xml:space="preserve">2011 m. gruodžio 13 d. Europos Parlamento ir Tarybos direktyvą </w:t>
            </w:r>
            <w:hyperlink r:id="rId33" w:tgtFrame="_blank" w:history="1">
              <w:r>
                <w:rPr>
                  <w:color w:val="467886" w:themeColor="hyperlink"/>
                  <w:u w:val="single"/>
                </w:rPr>
                <w:t>2011/92/ES</w:t>
              </w:r>
            </w:hyperlink>
            <w:r>
              <w:t xml:space="preserve"> dėl tam tikrų valstybės ir privačių projektų poveikio aplinkai vertinimo su paskutiniais </w:t>
            </w:r>
            <w:r>
              <w:lastRenderedPageBreak/>
              <w:t xml:space="preserve">pakeitimais, padarytais 2014 m. balandžio 16 d. Europos Parlamento ir Tarybos direktyva </w:t>
            </w:r>
            <w:hyperlink r:id="rId34" w:tgtFrame="_blank" w:history="1">
              <w:r>
                <w:rPr>
                  <w:color w:val="467886" w:themeColor="hyperlink"/>
                  <w:u w:val="single"/>
                </w:rPr>
                <w:t>2014/52/ES</w:t>
              </w:r>
            </w:hyperlink>
            <w:r>
              <w:t xml:space="preserve">, </w:t>
            </w:r>
            <w:r>
              <w:rPr>
                <w:szCs w:val="24"/>
                <w:lang w:eastAsia="lt-LT"/>
              </w:rPr>
              <w:t xml:space="preserve">bus atliktas PAV arba analizė (procedūra, pagal kurią kompetentinga institucija nustato, ar turi būti atliekamas Direktyvos </w:t>
            </w:r>
            <w:hyperlink r:id="rId35" w:tgtFrame="_blank" w:history="1">
              <w:r>
                <w:rPr>
                  <w:color w:val="467886" w:themeColor="hyperlink"/>
                  <w:szCs w:val="24"/>
                  <w:u w:val="single"/>
                  <w:lang w:eastAsia="lt-LT"/>
                </w:rPr>
                <w:t>2011/92/ES</w:t>
              </w:r>
            </w:hyperlink>
            <w:r>
              <w:rPr>
                <w:szCs w:val="24"/>
                <w:lang w:eastAsia="lt-LT"/>
              </w:rPr>
              <w:t xml:space="preserve"> II priede išvardytų projektų PAV (kaip nurodyta Direktyvos </w:t>
            </w:r>
            <w:hyperlink r:id="rId36" w:tgtFrame="_blank" w:history="1">
              <w:r>
                <w:rPr>
                  <w:color w:val="467886" w:themeColor="hyperlink"/>
                  <w:szCs w:val="24"/>
                  <w:u w:val="single"/>
                  <w:lang w:eastAsia="lt-LT"/>
                </w:rPr>
                <w:t>2011/92/ES</w:t>
              </w:r>
            </w:hyperlink>
            <w:r>
              <w:rPr>
                <w:szCs w:val="24"/>
                <w:lang w:eastAsia="lt-LT"/>
              </w:rPr>
              <w:t xml:space="preserve"> 4 straipsnio 2 dalyje). Jei bus atliktas PAV, aplinkos apsaugos tikslais bus įgyvendintos reikiamos poveikio švelninimo ir kompensuojamosios priemonės.</w:t>
            </w:r>
          </w:p>
          <w:p w14:paraId="1DC78AD7" w14:textId="77777777" w:rsidR="00C54C8B" w:rsidRDefault="00C54C8B" w:rsidP="00D80EE8">
            <w:pPr>
              <w:jc w:val="both"/>
              <w:rPr>
                <w:rFonts w:eastAsia="Calibri"/>
                <w:bCs/>
                <w:szCs w:val="24"/>
                <w:highlight w:val="yellow"/>
                <w:lang w:eastAsia="lt-LT"/>
              </w:rPr>
            </w:pPr>
            <w:r>
              <w:rPr>
                <w:szCs w:val="24"/>
                <w:lang w:eastAsia="lt-LT"/>
              </w:rPr>
              <w:t>Siekiant užtikrinti, kad veiklos neturėtų reikšmingo poveikio saugomos teritorijos apsaugos tikslams, pažeidžiamos biologinės įvairovės vietovėse arba šalia jų (įskaitant „</w:t>
            </w:r>
            <w:proofErr w:type="spellStart"/>
            <w:r>
              <w:rPr>
                <w:szCs w:val="24"/>
                <w:lang w:eastAsia="lt-LT"/>
              </w:rPr>
              <w:t>Natura</w:t>
            </w:r>
            <w:proofErr w:type="spellEnd"/>
            <w:r>
              <w:rPr>
                <w:szCs w:val="24"/>
                <w:lang w:eastAsia="lt-LT"/>
              </w:rPr>
              <w:t xml:space="preserve"> 2000“ saugomų teritorijų tinklą, UNESCO pasaulio paveldo objektus ir pagrindines biologinės įvairovės teritorijas, taip pat kitas saugomas teritorijas) esančių vietovių ir (arba) vykdant operacijas atitinkamais atvejais bus atliktas atitinkamas vertinimas (pagal 1992 m. gegužės 21 d. Tarybos direktyvą </w:t>
            </w:r>
            <w:hyperlink r:id="rId37" w:tgtFrame="_blank" w:history="1">
              <w:r>
                <w:rPr>
                  <w:color w:val="467886" w:themeColor="hyperlink"/>
                  <w:szCs w:val="24"/>
                  <w:u w:val="single"/>
                  <w:lang w:eastAsia="lt-LT"/>
                </w:rPr>
                <w:t>92/43/EEB</w:t>
              </w:r>
            </w:hyperlink>
            <w:r>
              <w:rPr>
                <w:szCs w:val="24"/>
                <w:lang w:eastAsia="lt-LT"/>
              </w:rPr>
              <w:t xml:space="preserve"> dėl natūralių buveinių ir laukinės faunos bei floros apsaugos ir 2009 m. lapkričio 30 d. Europos Parlamento ir Tarybos direktyvą </w:t>
            </w:r>
            <w:hyperlink r:id="rId38" w:tgtFrame="_blank" w:history="1">
              <w:r>
                <w:rPr>
                  <w:color w:val="467886" w:themeColor="hyperlink"/>
                  <w:szCs w:val="24"/>
                  <w:u w:val="single"/>
                  <w:lang w:eastAsia="lt-LT"/>
                </w:rPr>
                <w:t>2009/147/EB</w:t>
              </w:r>
            </w:hyperlink>
            <w:r>
              <w:rPr>
                <w:szCs w:val="24"/>
                <w:lang w:eastAsia="lt-LT"/>
              </w:rPr>
              <w:t xml:space="preserve"> dėl laukinių paukščių apsaugos) ir, remiantis jo išvadomis, įgyvendintos būtinos poveikio švelninimo priemonės.</w:t>
            </w:r>
          </w:p>
          <w:p w14:paraId="0B261FB8" w14:textId="77777777" w:rsidR="00C54C8B" w:rsidRDefault="00C54C8B" w:rsidP="00D80EE8">
            <w:pPr>
              <w:jc w:val="both"/>
              <w:rPr>
                <w:rFonts w:eastAsia="Calibri"/>
                <w:b/>
                <w:szCs w:val="24"/>
                <w:lang w:eastAsia="lt-LT"/>
              </w:rPr>
            </w:pPr>
            <w:r>
              <w:rPr>
                <w:rFonts w:eastAsia="Calibri"/>
                <w:bCs/>
                <w:szCs w:val="24"/>
                <w:lang w:eastAsia="lt-LT"/>
              </w:rPr>
              <w:t>Vertinama, kad planuojamos įgyvendinti veiklos neturi jokio numatomo poveikio šiam aplinkos tikslui arba numatomas jų poveikis yra nereikšmingas, t. y. nedaro tiesioginio ir pirminio netiesioginio poveikio per visą gyvavimo ciklą, todėl laikoma, kad veiklos atitinka biologinės įvairovės ir ekosistemų apsaugos ir atkūrimo tikslą.</w:t>
            </w:r>
          </w:p>
        </w:tc>
        <w:tc>
          <w:tcPr>
            <w:tcW w:w="5331" w:type="dxa"/>
            <w:tcBorders>
              <w:top w:val="single" w:sz="4" w:space="0" w:color="auto"/>
              <w:left w:val="single" w:sz="4" w:space="0" w:color="auto"/>
              <w:bottom w:val="single" w:sz="4" w:space="0" w:color="auto"/>
              <w:right w:val="single" w:sz="4" w:space="0" w:color="auto"/>
            </w:tcBorders>
          </w:tcPr>
          <w:p w14:paraId="509B7F81" w14:textId="77777777" w:rsidR="00C54C8B" w:rsidRDefault="00C54C8B" w:rsidP="00D80EE8">
            <w:pPr>
              <w:jc w:val="both"/>
              <w:rPr>
                <w:bCs/>
                <w:szCs w:val="24"/>
                <w:lang w:eastAsia="lt-LT"/>
              </w:rPr>
            </w:pPr>
            <w:r>
              <w:rPr>
                <w:szCs w:val="24"/>
                <w:lang w:eastAsia="lt-LT"/>
              </w:rPr>
              <w:lastRenderedPageBreak/>
              <w:t>1.</w:t>
            </w:r>
            <w:r>
              <w:rPr>
                <w:bCs/>
                <w:szCs w:val="24"/>
                <w:lang w:eastAsia="lt-LT"/>
              </w:rPr>
              <w:t xml:space="preserve"> Pareiškėjas turi būti atlikęs </w:t>
            </w:r>
            <w:r>
              <w:rPr>
                <w:szCs w:val="24"/>
                <w:lang w:eastAsia="lt-LT"/>
              </w:rPr>
              <w:t>PAV</w:t>
            </w:r>
            <w:r>
              <w:rPr>
                <w:bCs/>
                <w:szCs w:val="24"/>
                <w:lang w:eastAsia="lt-LT"/>
              </w:rPr>
              <w:t xml:space="preserve"> ir turi būti pateikti atsakingos institucijos galiojantys dokumentai </w:t>
            </w:r>
            <w:r>
              <w:rPr>
                <w:bCs/>
                <w:i/>
                <w:iCs/>
                <w:szCs w:val="24"/>
                <w:lang w:eastAsia="lt-LT"/>
              </w:rPr>
              <w:t>(jeigu taikoma)</w:t>
            </w:r>
            <w:r>
              <w:rPr>
                <w:bCs/>
                <w:szCs w:val="24"/>
                <w:lang w:eastAsia="lt-LT"/>
              </w:rPr>
              <w:t xml:space="preserve">. </w:t>
            </w:r>
            <w:r>
              <w:t xml:space="preserve">Su PĮP pateikiama PAV ataskaita ir atsakingos institucijos galiojantis teigiamas sprendimas dėl planuojamos ūkinės veiklos galimybių arba galiojanti atrankos išvada, kad PAV neprivalomas, kai pagal Planuojamos ūkinės veiklos poveikio aplinkai vertinimo įstatymo nuostatas turi būti atliktos planuojamos ūkinės veiklos PAV procedūros </w:t>
            </w:r>
            <w:r>
              <w:rPr>
                <w:i/>
                <w:iCs/>
              </w:rPr>
              <w:t>(jeigu taikoma)</w:t>
            </w:r>
            <w:r>
              <w:t xml:space="preserve">, arba pateikiamas </w:t>
            </w:r>
            <w:r>
              <w:lastRenderedPageBreak/>
              <w:t>pagrindimas, kodėl nurodytos procedūros netaikomos</w:t>
            </w:r>
            <w:r>
              <w:rPr>
                <w:bCs/>
                <w:szCs w:val="24"/>
                <w:lang w:eastAsia="lt-LT"/>
              </w:rPr>
              <w:t>.</w:t>
            </w:r>
          </w:p>
          <w:p w14:paraId="78775166" w14:textId="77777777" w:rsidR="00C54C8B" w:rsidRDefault="00C54C8B" w:rsidP="00D80EE8">
            <w:pPr>
              <w:tabs>
                <w:tab w:val="left" w:pos="458"/>
              </w:tabs>
              <w:ind w:left="34"/>
              <w:jc w:val="both"/>
              <w:rPr>
                <w:szCs w:val="24"/>
              </w:rPr>
            </w:pPr>
            <w:r>
              <w:rPr>
                <w:szCs w:val="24"/>
              </w:rPr>
              <w:t>2. Vadovaujantis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patvirtinimo“, nuostatomis turi būti atliktas „</w:t>
            </w:r>
            <w:proofErr w:type="spellStart"/>
            <w:r>
              <w:rPr>
                <w:szCs w:val="24"/>
              </w:rPr>
              <w:t>Natura</w:t>
            </w:r>
            <w:proofErr w:type="spellEnd"/>
            <w:r>
              <w:rPr>
                <w:szCs w:val="24"/>
              </w:rPr>
              <w:t xml:space="preserve"> 2000“ teritorijų reikšmingumo nustatymas </w:t>
            </w:r>
            <w:r>
              <w:rPr>
                <w:i/>
                <w:iCs/>
                <w:szCs w:val="24"/>
              </w:rPr>
              <w:t>(jeigu taikoma)</w:t>
            </w:r>
            <w:r>
              <w:rPr>
                <w:szCs w:val="24"/>
              </w:rPr>
              <w:t>.</w:t>
            </w:r>
          </w:p>
          <w:p w14:paraId="147AB895" w14:textId="77777777" w:rsidR="00C54C8B" w:rsidRDefault="00C54C8B" w:rsidP="00D80EE8">
            <w:pPr>
              <w:tabs>
                <w:tab w:val="left" w:pos="458"/>
              </w:tabs>
              <w:ind w:left="34"/>
              <w:jc w:val="both"/>
              <w:rPr>
                <w:rFonts w:eastAsia="Calibri"/>
                <w:szCs w:val="24"/>
              </w:rPr>
            </w:pPr>
            <w:r>
              <w:rPr>
                <w:rFonts w:eastAsia="Calibri"/>
                <w:szCs w:val="24"/>
              </w:rPr>
              <w:t>3. Kita aktuali informacija ir (ar) dokumentai.</w:t>
            </w:r>
          </w:p>
        </w:tc>
      </w:tr>
    </w:tbl>
    <w:p w14:paraId="2286F30C" w14:textId="77777777" w:rsidR="00C54C8B" w:rsidRDefault="00C54C8B" w:rsidP="00C54C8B">
      <w:pPr>
        <w:spacing w:line="276" w:lineRule="auto"/>
        <w:jc w:val="center"/>
        <w:rPr>
          <w:rFonts w:eastAsia="Calibri"/>
          <w:sz w:val="20"/>
          <w:szCs w:val="24"/>
          <w:lang w:eastAsia="lt-LT"/>
        </w:rPr>
      </w:pPr>
    </w:p>
    <w:p w14:paraId="2E26E4F5" w14:textId="77777777" w:rsidR="00C54C8B" w:rsidRDefault="00C54C8B" w:rsidP="00C54C8B">
      <w:pPr>
        <w:spacing w:line="276" w:lineRule="auto"/>
        <w:jc w:val="center"/>
        <w:rPr>
          <w:rFonts w:eastAsia="Calibri"/>
          <w:sz w:val="20"/>
          <w:szCs w:val="24"/>
          <w:lang w:eastAsia="lt-LT"/>
        </w:rPr>
      </w:pPr>
    </w:p>
    <w:p w14:paraId="252A5D6D" w14:textId="77777777" w:rsidR="00C54C8B" w:rsidRDefault="00C54C8B" w:rsidP="00C54C8B">
      <w:pPr>
        <w:spacing w:line="276" w:lineRule="auto"/>
        <w:jc w:val="center"/>
        <w:rPr>
          <w:szCs w:val="24"/>
        </w:rPr>
      </w:pPr>
      <w:r>
        <w:rPr>
          <w:szCs w:val="24"/>
        </w:rPr>
        <w:t>_______________________</w:t>
      </w:r>
    </w:p>
    <w:p w14:paraId="356F9246" w14:textId="77777777" w:rsidR="00C54C8B" w:rsidRDefault="00C54C8B"/>
    <w:sectPr w:rsidR="00C54C8B" w:rsidSect="00C54C8B">
      <w:headerReference w:type="even" r:id="rId39"/>
      <w:headerReference w:type="default" r:id="rId40"/>
      <w:footerReference w:type="even" r:id="rId41"/>
      <w:footerReference w:type="default" r:id="rId42"/>
      <w:headerReference w:type="first" r:id="rId43"/>
      <w:footerReference w:type="first" r:id="rId44"/>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244F" w14:textId="77777777" w:rsidR="00D00665" w:rsidRDefault="00D00665">
      <w:r>
        <w:separator/>
      </w:r>
    </w:p>
  </w:endnote>
  <w:endnote w:type="continuationSeparator" w:id="0">
    <w:p w14:paraId="7E3BC029" w14:textId="77777777" w:rsidR="00D00665" w:rsidRDefault="00D0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120D" w14:textId="77777777" w:rsidR="00C54C8B" w:rsidRDefault="00C54C8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9248" w14:textId="77777777" w:rsidR="00C54C8B" w:rsidRDefault="00C54C8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47E3" w14:textId="77777777" w:rsidR="00C54C8B" w:rsidRDefault="00C54C8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38CF" w14:textId="77777777" w:rsidR="00D00665" w:rsidRDefault="00D00665">
      <w:r>
        <w:separator/>
      </w:r>
    </w:p>
  </w:footnote>
  <w:footnote w:type="continuationSeparator" w:id="0">
    <w:p w14:paraId="61CB04A2" w14:textId="77777777" w:rsidR="00D00665" w:rsidRDefault="00D0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0F1" w14:textId="77777777" w:rsidR="00C54C8B" w:rsidRDefault="00C54C8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EFBF" w14:textId="77777777" w:rsidR="00C54C8B" w:rsidRDefault="00C54C8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3D504183" w14:textId="77777777" w:rsidR="00C54C8B" w:rsidRDefault="00C54C8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43D2" w14:textId="77777777" w:rsidR="00C54C8B" w:rsidRDefault="00C54C8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8B"/>
    <w:rsid w:val="00636E4D"/>
    <w:rsid w:val="008F7890"/>
    <w:rsid w:val="0093783B"/>
    <w:rsid w:val="00C54C8B"/>
    <w:rsid w:val="00C81CAC"/>
    <w:rsid w:val="00CA1F86"/>
    <w:rsid w:val="00D00665"/>
    <w:rsid w:val="00D3477F"/>
    <w:rsid w:val="00DF1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BA94"/>
  <w15:chartTrackingRefBased/>
  <w15:docId w15:val="{C07C0FB5-1C9F-4378-90DD-9D13F52D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8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54C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4C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4C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4C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54C8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54C8B"/>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54C8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54C8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54C8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C8B"/>
    <w:rPr>
      <w:rFonts w:eastAsiaTheme="majorEastAsia" w:cstheme="majorBidi"/>
      <w:color w:val="272727" w:themeColor="text1" w:themeTint="D8"/>
    </w:rPr>
  </w:style>
  <w:style w:type="paragraph" w:styleId="Title">
    <w:name w:val="Title"/>
    <w:basedOn w:val="Normal"/>
    <w:next w:val="Normal"/>
    <w:link w:val="TitleChar"/>
    <w:uiPriority w:val="10"/>
    <w:qFormat/>
    <w:rsid w:val="00C54C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4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C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4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C8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54C8B"/>
    <w:rPr>
      <w:i/>
      <w:iCs/>
      <w:color w:val="404040" w:themeColor="text1" w:themeTint="BF"/>
    </w:rPr>
  </w:style>
  <w:style w:type="paragraph" w:styleId="ListParagraph">
    <w:name w:val="List Paragraph"/>
    <w:basedOn w:val="Normal"/>
    <w:uiPriority w:val="34"/>
    <w:qFormat/>
    <w:rsid w:val="00C54C8B"/>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54C8B"/>
    <w:rPr>
      <w:i/>
      <w:iCs/>
      <w:color w:val="0F4761" w:themeColor="accent1" w:themeShade="BF"/>
    </w:rPr>
  </w:style>
  <w:style w:type="paragraph" w:styleId="IntenseQuote">
    <w:name w:val="Intense Quote"/>
    <w:basedOn w:val="Normal"/>
    <w:next w:val="Normal"/>
    <w:link w:val="IntenseQuoteChar"/>
    <w:uiPriority w:val="30"/>
    <w:qFormat/>
    <w:rsid w:val="00C54C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54C8B"/>
    <w:rPr>
      <w:i/>
      <w:iCs/>
      <w:color w:val="0F4761" w:themeColor="accent1" w:themeShade="BF"/>
    </w:rPr>
  </w:style>
  <w:style w:type="character" w:styleId="IntenseReference">
    <w:name w:val="Intense Reference"/>
    <w:basedOn w:val="DefaultParagraphFont"/>
    <w:uiPriority w:val="32"/>
    <w:qFormat/>
    <w:rsid w:val="00C54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21R2139&amp;locale=lt" TargetMode="External"/><Relationship Id="rId18" Type="http://schemas.openxmlformats.org/officeDocument/2006/relationships/hyperlink" Target="http://eur-lex.europa.eu/legal-content/LIT/TXT/?uri=CELEX:31991L0689&amp;locale=lt" TargetMode="External"/><Relationship Id="rId26" Type="http://schemas.openxmlformats.org/officeDocument/2006/relationships/hyperlink" Target="http://eur-lex.europa.eu/legal-content/LIT/TXT/?uri=CELEX:31976L0769&amp;locale=lt" TargetMode="External"/><Relationship Id="rId39" Type="http://schemas.openxmlformats.org/officeDocument/2006/relationships/header" Target="header1.xml"/><Relationship Id="rId21" Type="http://schemas.openxmlformats.org/officeDocument/2006/relationships/hyperlink" Target="http://eur-lex.europa.eu/legal-content/LIT/TXT/?uri=CELEX:32021R2139&amp;locale=lt" TargetMode="External"/><Relationship Id="rId34" Type="http://schemas.openxmlformats.org/officeDocument/2006/relationships/hyperlink" Target="http://eur-lex.europa.eu/legal-content/LIT/TXT/?uri=CELEX:32014L0052&amp;locale=lt" TargetMode="External"/><Relationship Id="rId42" Type="http://schemas.openxmlformats.org/officeDocument/2006/relationships/footer" Target="footer2.xml"/><Relationship Id="rId7" Type="http://schemas.openxmlformats.org/officeDocument/2006/relationships/hyperlink" Target="http://eur-lex.europa.eu/legal-content/LIT/TXT/?uri=CELEX:32021R2139&amp;locale=lt" TargetMode="External"/><Relationship Id="rId2" Type="http://schemas.openxmlformats.org/officeDocument/2006/relationships/settings" Target="settings.xml"/><Relationship Id="rId16" Type="http://schemas.openxmlformats.org/officeDocument/2006/relationships/hyperlink" Target="http://eur-lex.europa.eu/legal-content/LIT/TXT/?uri=CELEX:31975L0442&amp;locale=lt" TargetMode="External"/><Relationship Id="rId29" Type="http://schemas.openxmlformats.org/officeDocument/2006/relationships/hyperlink" Target="http://eur-lex.europa.eu/legal-content/LIT/TXT/?uri=CELEX:31993L0105&amp;locale=lt" TargetMode="External"/><Relationship Id="rId1" Type="http://schemas.openxmlformats.org/officeDocument/2006/relationships/styles" Target="styles.xml"/><Relationship Id="rId6" Type="http://schemas.openxmlformats.org/officeDocument/2006/relationships/hyperlink" Target="http://eur-lex.europa.eu/legal-content/LIT/TXT/?uri=CELEX:32021R1060&amp;locale=lt" TargetMode="External"/><Relationship Id="rId11" Type="http://schemas.openxmlformats.org/officeDocument/2006/relationships/hyperlink" Target="http://eur-lex.europa.eu/legal-content/LIT/TXT/?uri=CELEX:32021R2139&amp;locale=lt" TargetMode="External"/><Relationship Id="rId24" Type="http://schemas.openxmlformats.org/officeDocument/2006/relationships/hyperlink" Target="http://eur-lex.europa.eu/legal-content/LIT/TXT/?uri=CELEX:31993R0793&amp;locale=lt" TargetMode="External"/><Relationship Id="rId32" Type="http://schemas.openxmlformats.org/officeDocument/2006/relationships/hyperlink" Target="http://eur-lex.europa.eu/legal-content/LIT/TXT/?uri=CELEX:32021R2139&amp;locale=lt" TargetMode="External"/><Relationship Id="rId37" Type="http://schemas.openxmlformats.org/officeDocument/2006/relationships/hyperlink" Target="http://eur-lex.europa.eu/legal-content/LIT/TXT/?uri=CELEX:31992L0043&amp;locale=lt"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eur-lex.europa.eu/legal-content/LIT/TXT/?uri=CELEX:31994D0003&amp;locale=lt" TargetMode="External"/><Relationship Id="rId23" Type="http://schemas.openxmlformats.org/officeDocument/2006/relationships/hyperlink" Target="http://eur-lex.europa.eu/legal-content/LIT/TXT/?uri=CELEX:31999L0045&amp;locale=lt" TargetMode="External"/><Relationship Id="rId28" Type="http://schemas.openxmlformats.org/officeDocument/2006/relationships/hyperlink" Target="http://eur-lex.europa.eu/legal-content/LIT/TXT/?uri=CELEX:31993L0067&amp;locale=lt" TargetMode="External"/><Relationship Id="rId36" Type="http://schemas.openxmlformats.org/officeDocument/2006/relationships/hyperlink" Target="http://eur-lex.europa.eu/legal-content/LIT/TXT/?uri=CELEX:32011L0092&amp;locale=lt" TargetMode="External"/><Relationship Id="rId10" Type="http://schemas.openxmlformats.org/officeDocument/2006/relationships/hyperlink" Target="http://eur-lex.europa.eu/legal-content/LIT/TXT/?uri=CELEX:32021R2139&amp;locale=lt" TargetMode="External"/><Relationship Id="rId19" Type="http://schemas.openxmlformats.org/officeDocument/2006/relationships/hyperlink" Target="http://eur-lex.europa.eu/legal-content/LIT/TXT/?uri=CELEX:32008L0098&amp;locale=lt" TargetMode="External"/><Relationship Id="rId31" Type="http://schemas.openxmlformats.org/officeDocument/2006/relationships/hyperlink" Target="http://eur-lex.europa.eu/legal-content/LIT/TXT/?uri=CELEX:32021R2139&amp;locale=lt"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eur-lex.europa.eu/legal-content/LIT/TXT/?uri=CELEX:32021R1060&amp;locale=lt" TargetMode="External"/><Relationship Id="rId14" Type="http://schemas.openxmlformats.org/officeDocument/2006/relationships/hyperlink" Target="http://eur-lex.europa.eu/legal-content/LIT/TXT/?uri=CELEX:32021R2139&amp;locale=lt" TargetMode="External"/><Relationship Id="rId22" Type="http://schemas.openxmlformats.org/officeDocument/2006/relationships/hyperlink" Target="http://eur-lex.europa.eu/legal-content/LIT/TXT/?uri=CELEX:32006R1907&amp;locale=lt" TargetMode="External"/><Relationship Id="rId27" Type="http://schemas.openxmlformats.org/officeDocument/2006/relationships/hyperlink" Target="http://eur-lex.europa.eu/legal-content/LIT/TXT/?uri=CELEX:31991L0155&amp;locale=lt" TargetMode="External"/><Relationship Id="rId30" Type="http://schemas.openxmlformats.org/officeDocument/2006/relationships/hyperlink" Target="http://eur-lex.europa.eu/legal-content/LIT/TXT/?uri=CELEX:32000L0021&amp;locale=lt" TargetMode="External"/><Relationship Id="rId35" Type="http://schemas.openxmlformats.org/officeDocument/2006/relationships/hyperlink" Target="http://eur-lex.europa.eu/legal-content/LIT/TXT/?uri=CELEX:32011L0092&amp;locale=lt" TargetMode="External"/><Relationship Id="rId43" Type="http://schemas.openxmlformats.org/officeDocument/2006/relationships/header" Target="header3.xml"/><Relationship Id="rId8" Type="http://schemas.openxmlformats.org/officeDocument/2006/relationships/hyperlink" Target="http://eur-lex.europa.eu/legal-content/LIT/TXT/?uri=CELEX:32020R0852&amp;locale=lt" TargetMode="External"/><Relationship Id="rId3" Type="http://schemas.openxmlformats.org/officeDocument/2006/relationships/webSettings" Target="webSettings.xml"/><Relationship Id="rId12" Type="http://schemas.openxmlformats.org/officeDocument/2006/relationships/hyperlink" Target="http://eur-lex.europa.eu/legal-content/LIT/TXT/?uri=CELEX:32021R2139&amp;locale=lt" TargetMode="External"/><Relationship Id="rId17" Type="http://schemas.openxmlformats.org/officeDocument/2006/relationships/hyperlink" Target="http://eur-lex.europa.eu/legal-content/LIT/TXT/?uri=CELEX:31994D0904&amp;locale=lt" TargetMode="External"/><Relationship Id="rId25" Type="http://schemas.openxmlformats.org/officeDocument/2006/relationships/hyperlink" Target="http://eur-lex.europa.eu/legal-content/LIT/TXT/?uri=CELEX:31994R1488&amp;locale=lt" TargetMode="External"/><Relationship Id="rId33" Type="http://schemas.openxmlformats.org/officeDocument/2006/relationships/hyperlink" Target="http://eur-lex.europa.eu/legal-content/LIT/TXT/?uri=CELEX:32011L0092&amp;locale=lt" TargetMode="External"/><Relationship Id="rId38" Type="http://schemas.openxmlformats.org/officeDocument/2006/relationships/hyperlink" Target="http://eur-lex.europa.eu/legal-content/LIT/TXT/?uri=CELEX:32009L0147&amp;locale=lt" TargetMode="External"/><Relationship Id="rId46" Type="http://schemas.openxmlformats.org/officeDocument/2006/relationships/theme" Target="theme/theme1.xml"/><Relationship Id="rId20" Type="http://schemas.openxmlformats.org/officeDocument/2006/relationships/hyperlink" Target="http://eur-lex.europa.eu/legal-content/LIT/TXT/?uri=CELEX:32021R2139&amp;locale=lt" TargetMode="External"/><Relationship Id="rId41"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2809</Words>
  <Characters>16014</Characters>
  <Application>Microsoft Office Word</Application>
  <DocSecurity>0</DocSecurity>
  <Lines>133</Lines>
  <Paragraphs>37</Paragraphs>
  <ScaleCrop>false</ScaleCrop>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Juodvalkienė</dc:creator>
  <cp:keywords/>
  <dc:description/>
  <cp:lastModifiedBy>Urtė Morozovaitė</cp:lastModifiedBy>
  <cp:revision>4</cp:revision>
  <dcterms:created xsi:type="dcterms:W3CDTF">2026-02-25T16:40:00Z</dcterms:created>
  <dcterms:modified xsi:type="dcterms:W3CDTF">2026-02-26T07:26:00Z</dcterms:modified>
</cp:coreProperties>
</file>