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E15E" w14:textId="346B3C2D" w:rsidR="00C94D02" w:rsidRPr="00C94D02" w:rsidRDefault="0018209F" w:rsidP="00C94D02">
      <w:pPr>
        <w:tabs>
          <w:tab w:val="left" w:pos="1560"/>
        </w:tabs>
        <w:ind w:left="8505" w:right="283"/>
        <w:jc w:val="both"/>
        <w:rPr>
          <w:szCs w:val="24"/>
        </w:rPr>
      </w:pPr>
      <w:r w:rsidRPr="004B229B">
        <w:rPr>
          <w:szCs w:val="24"/>
        </w:rPr>
        <w:t>2021–2030 m. plėtros programos valdytojos Lietuvos</w:t>
      </w:r>
      <w:r w:rsidR="00803F3D" w:rsidRPr="004B229B">
        <w:rPr>
          <w:szCs w:val="24"/>
        </w:rPr>
        <w:t xml:space="preserve"> Respublikos švietimo, mokslo ir sporto ministerijos </w:t>
      </w:r>
      <w:r w:rsidR="0055391E" w:rsidRPr="004B229B">
        <w:rPr>
          <w:szCs w:val="24"/>
        </w:rPr>
        <w:t xml:space="preserve">švietimo </w:t>
      </w:r>
      <w:r w:rsidRPr="004B229B">
        <w:rPr>
          <w:szCs w:val="24"/>
        </w:rPr>
        <w:t>plėtros programos pažangos priemonės</w:t>
      </w:r>
      <w:r w:rsidR="00C94D02">
        <w:rPr>
          <w:szCs w:val="24"/>
        </w:rPr>
        <w:t xml:space="preserve"> </w:t>
      </w:r>
      <w:r w:rsidR="00C94D02" w:rsidRPr="00C94D02">
        <w:rPr>
          <w:szCs w:val="24"/>
        </w:rPr>
        <w:t>Nr. 12-003-03-04-03</w:t>
      </w:r>
      <w:r w:rsidR="003A1556">
        <w:rPr>
          <w:szCs w:val="24"/>
        </w:rPr>
        <w:t xml:space="preserve"> </w:t>
      </w:r>
      <w:r w:rsidR="00C94D02" w:rsidRPr="00C94D02">
        <w:rPr>
          <w:szCs w:val="24"/>
        </w:rPr>
        <w:t xml:space="preserve">„Sukurti rinkos poreikius </w:t>
      </w:r>
      <w:r w:rsidR="00C94D02">
        <w:rPr>
          <w:szCs w:val="24"/>
        </w:rPr>
        <w:t xml:space="preserve"> </w:t>
      </w:r>
      <w:r w:rsidR="00C94D02" w:rsidRPr="00C94D02">
        <w:rPr>
          <w:szCs w:val="24"/>
        </w:rPr>
        <w:t xml:space="preserve">atliepiančią profesinio ugdymo sistemą“ aprašo </w:t>
      </w:r>
    </w:p>
    <w:p w14:paraId="77576128" w14:textId="20058929" w:rsidR="00854253" w:rsidRDefault="00C94D02">
      <w:pPr>
        <w:ind w:firstLine="8505"/>
        <w:rPr>
          <w:szCs w:val="24"/>
        </w:rPr>
      </w:pPr>
      <w:r w:rsidRPr="00C94D02">
        <w:rPr>
          <w:szCs w:val="24"/>
        </w:rPr>
        <w:t>1 priedas</w:t>
      </w:r>
    </w:p>
    <w:p w14:paraId="799707B1" w14:textId="77777777" w:rsidR="00F31307" w:rsidRPr="004B229B" w:rsidRDefault="00F31307">
      <w:pPr>
        <w:ind w:firstLine="8505"/>
        <w:rPr>
          <w:iCs/>
          <w:szCs w:val="24"/>
        </w:rPr>
      </w:pPr>
    </w:p>
    <w:p w14:paraId="58A2258B" w14:textId="5FB4A48E" w:rsidR="00854253" w:rsidRDefault="0018209F" w:rsidP="00FC2A01">
      <w:pPr>
        <w:jc w:val="center"/>
        <w:rPr>
          <w:b/>
          <w:bCs/>
          <w:szCs w:val="24"/>
        </w:rPr>
      </w:pPr>
      <w:r w:rsidRPr="004B229B">
        <w:rPr>
          <w:b/>
          <w:bCs/>
          <w:szCs w:val="24"/>
        </w:rPr>
        <w:t xml:space="preserve">2021–2030 M. PLĖTROS PROGRAMOS VALDYTOJOS LIETUVOS RESPUBLIKOS ŠVIETIMO, MOKSLO IR SPORTO MINISTERIJOS ŠVIETIMO PLĖTROS PROGRAMOS PAŽANGOS PRIEMONĖS </w:t>
      </w:r>
      <w:r w:rsidR="00A71EAF" w:rsidRPr="00A71EAF">
        <w:rPr>
          <w:b/>
          <w:bCs/>
          <w:szCs w:val="24"/>
        </w:rPr>
        <w:t xml:space="preserve">NR. 12-003-03-04-03„SUKURTI RINKOS POREIKIUS  ATLIEPIANČIĄ PROFESINIO UGDYMO SISTEMĄ“ </w:t>
      </w:r>
      <w:r w:rsidRPr="004B229B">
        <w:rPr>
          <w:b/>
          <w:bCs/>
          <w:szCs w:val="24"/>
        </w:rPr>
        <w:t>PROJEKTŲ FINANSAVIMO SĄLYGŲ APRAŠAS</w:t>
      </w:r>
      <w:r w:rsidR="00291579" w:rsidRPr="004B229B">
        <w:rPr>
          <w:b/>
          <w:bCs/>
          <w:szCs w:val="24"/>
        </w:rPr>
        <w:t xml:space="preserve"> NR. </w:t>
      </w:r>
      <w:r w:rsidR="003A1556">
        <w:rPr>
          <w:b/>
          <w:bCs/>
          <w:szCs w:val="24"/>
        </w:rPr>
        <w:t>1</w:t>
      </w:r>
    </w:p>
    <w:p w14:paraId="0294D82A" w14:textId="77777777" w:rsidR="009957C4" w:rsidRDefault="009957C4" w:rsidP="00FC2A01">
      <w:pPr>
        <w:jc w:val="center"/>
        <w:rPr>
          <w:b/>
          <w:bCs/>
          <w:szCs w:val="24"/>
        </w:rPr>
      </w:pPr>
    </w:p>
    <w:p w14:paraId="31C0AC47" w14:textId="77777777" w:rsidR="009957C4" w:rsidRPr="005F6F0B" w:rsidRDefault="009957C4" w:rsidP="009957C4">
      <w:pPr>
        <w:jc w:val="center"/>
        <w:rPr>
          <w:b/>
          <w:iCs/>
          <w:szCs w:val="24"/>
        </w:rPr>
      </w:pPr>
      <w:r w:rsidRPr="005F6F0B">
        <w:rPr>
          <w:b/>
          <w:iCs/>
          <w:szCs w:val="24"/>
        </w:rPr>
        <w:t>I SKYRIUS</w:t>
      </w:r>
    </w:p>
    <w:p w14:paraId="5C8DE88F" w14:textId="733E7A39" w:rsidR="009957C4" w:rsidRDefault="009957C4" w:rsidP="009957C4">
      <w:pPr>
        <w:jc w:val="center"/>
        <w:rPr>
          <w:b/>
          <w:iCs/>
          <w:szCs w:val="24"/>
        </w:rPr>
      </w:pPr>
      <w:r w:rsidRPr="005F6F0B">
        <w:rPr>
          <w:b/>
          <w:iCs/>
          <w:szCs w:val="24"/>
        </w:rPr>
        <w:t>VEIKLOS AR POVEIKLĖS, KURIOMS NUSTATOMOS PROJEKTŲ FINANSAVIMO SĄLYGOS IR JŲ RODIKLIAI</w:t>
      </w:r>
    </w:p>
    <w:p w14:paraId="6EAAE0C2" w14:textId="77777777" w:rsidR="00117DE5" w:rsidRPr="009957C4" w:rsidRDefault="00117DE5" w:rsidP="009957C4">
      <w:pPr>
        <w:jc w:val="center"/>
        <w:rPr>
          <w:b/>
          <w:i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1134"/>
        <w:gridCol w:w="1276"/>
        <w:gridCol w:w="1134"/>
        <w:gridCol w:w="1276"/>
        <w:gridCol w:w="1134"/>
        <w:gridCol w:w="1134"/>
        <w:gridCol w:w="1275"/>
        <w:gridCol w:w="1134"/>
        <w:gridCol w:w="1276"/>
        <w:gridCol w:w="1276"/>
        <w:gridCol w:w="1276"/>
      </w:tblGrid>
      <w:tr w:rsidR="009957C4" w:rsidRPr="004B229B" w:rsidDel="009957C4" w14:paraId="42998FB6" w14:textId="77777777" w:rsidTr="00F628E3">
        <w:trPr>
          <w:trHeight w:val="278"/>
        </w:trPr>
        <w:tc>
          <w:tcPr>
            <w:tcW w:w="15452" w:type="dxa"/>
            <w:gridSpan w:val="13"/>
            <w:tcBorders>
              <w:top w:val="single" w:sz="4" w:space="0" w:color="auto"/>
              <w:left w:val="single" w:sz="4" w:space="0" w:color="auto"/>
              <w:bottom w:val="single" w:sz="4" w:space="0" w:color="auto"/>
              <w:right w:val="single" w:sz="4" w:space="0" w:color="auto"/>
            </w:tcBorders>
            <w:tcMar>
              <w:left w:w="28" w:type="dxa"/>
              <w:right w:w="28" w:type="dxa"/>
            </w:tcMar>
          </w:tcPr>
          <w:p w14:paraId="449927D2" w14:textId="7FD43485" w:rsidR="009957C4" w:rsidRPr="004B229B" w:rsidDel="009957C4" w:rsidRDefault="009957C4" w:rsidP="009957C4">
            <w:pPr>
              <w:rPr>
                <w:b/>
                <w:szCs w:val="24"/>
              </w:rPr>
            </w:pPr>
            <w:r w:rsidRPr="009957C4">
              <w:rPr>
                <w:b/>
                <w:szCs w:val="24"/>
              </w:rPr>
              <w:t xml:space="preserve">1. Veiklos ar </w:t>
            </w:r>
            <w:proofErr w:type="spellStart"/>
            <w:r w:rsidRPr="009957C4">
              <w:rPr>
                <w:b/>
                <w:szCs w:val="24"/>
              </w:rPr>
              <w:t>poveiklės</w:t>
            </w:r>
            <w:proofErr w:type="spellEnd"/>
            <w:r w:rsidRPr="009957C4">
              <w:rPr>
                <w:b/>
                <w:szCs w:val="24"/>
              </w:rPr>
              <w:t>, kurioms nustatomos projektų finansavimo sąlygos</w:t>
            </w:r>
          </w:p>
        </w:tc>
      </w:tr>
      <w:tr w:rsidR="00F628E3" w:rsidRPr="004B229B" w14:paraId="7ACB7550" w14:textId="77777777" w:rsidTr="009C1A68">
        <w:trPr>
          <w:trHeight w:val="2921"/>
        </w:trPr>
        <w:tc>
          <w:tcPr>
            <w:tcW w:w="11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CA233" w14:textId="5FFE7411" w:rsidR="00651AB8" w:rsidRPr="004B229B" w:rsidRDefault="00651AB8">
            <w:pPr>
              <w:ind w:right="-57"/>
              <w:rPr>
                <w:b/>
                <w:color w:val="000000"/>
                <w:sz w:val="22"/>
                <w:szCs w:val="22"/>
              </w:rPr>
            </w:pPr>
            <w:r w:rsidRPr="004B229B">
              <w:rPr>
                <w:b/>
                <w:color w:val="000000"/>
                <w:sz w:val="22"/>
                <w:szCs w:val="22"/>
              </w:rPr>
              <w:t xml:space="preserve">Veiklos ar </w:t>
            </w:r>
            <w:proofErr w:type="spellStart"/>
            <w:r w:rsidRPr="004B229B">
              <w:rPr>
                <w:b/>
                <w:color w:val="000000"/>
                <w:sz w:val="22"/>
                <w:szCs w:val="22"/>
              </w:rPr>
              <w:t>poveiklės</w:t>
            </w:r>
            <w:proofErr w:type="spellEnd"/>
            <w:r w:rsidRPr="004B229B">
              <w:rPr>
                <w:b/>
                <w:color w:val="000000"/>
                <w:sz w:val="22"/>
                <w:szCs w:val="22"/>
              </w:rPr>
              <w:t xml:space="preserve"> </w:t>
            </w:r>
            <w:r w:rsidR="00F628E3">
              <w:rPr>
                <w:b/>
                <w:color w:val="000000"/>
                <w:sz w:val="22"/>
                <w:szCs w:val="22"/>
              </w:rPr>
              <w:t xml:space="preserve">numeris ir </w:t>
            </w:r>
            <w:r w:rsidRPr="004B229B">
              <w:rPr>
                <w:b/>
                <w:color w:val="000000"/>
                <w:sz w:val="22"/>
                <w:szCs w:val="22"/>
              </w:rPr>
              <w:t>pavadinimas</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2740D6" w14:textId="4CC97431" w:rsidR="00651AB8" w:rsidRPr="004B229B" w:rsidRDefault="00651AB8">
            <w:pPr>
              <w:jc w:val="center"/>
              <w:rPr>
                <w:b/>
                <w:sz w:val="22"/>
                <w:szCs w:val="22"/>
              </w:rPr>
            </w:pPr>
            <w:r w:rsidRPr="004B229B">
              <w:rPr>
                <w:b/>
                <w:sz w:val="22"/>
                <w:szCs w:val="22"/>
              </w:rPr>
              <w:t>Finansavimo šaltinis</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EF486E" w14:textId="677B5ABC" w:rsidR="00651AB8" w:rsidRPr="004B229B" w:rsidRDefault="00651AB8">
            <w:pPr>
              <w:jc w:val="center"/>
              <w:rPr>
                <w:b/>
                <w:sz w:val="22"/>
                <w:szCs w:val="22"/>
              </w:rPr>
            </w:pPr>
            <w:r w:rsidRPr="004B229B">
              <w:rPr>
                <w:b/>
                <w:sz w:val="22"/>
                <w:szCs w:val="22"/>
              </w:rPr>
              <w:t>Prioritetas ar komponentas</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BA7303" w14:textId="0254BD76" w:rsidR="00651AB8" w:rsidRPr="004B229B" w:rsidRDefault="00651AB8">
            <w:pPr>
              <w:jc w:val="center"/>
              <w:rPr>
                <w:b/>
                <w:sz w:val="22"/>
                <w:szCs w:val="22"/>
              </w:rPr>
            </w:pPr>
            <w:r w:rsidRPr="004B229B">
              <w:rPr>
                <w:b/>
                <w:sz w:val="22"/>
                <w:szCs w:val="22"/>
              </w:rPr>
              <w:t>Uždavinys ar priemonė</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B05C5" w14:textId="559DFBB5" w:rsidR="00651AB8" w:rsidRPr="004B229B" w:rsidRDefault="00651AB8">
            <w:pPr>
              <w:jc w:val="center"/>
              <w:rPr>
                <w:b/>
                <w:sz w:val="22"/>
                <w:szCs w:val="22"/>
              </w:rPr>
            </w:pPr>
            <w:r w:rsidRPr="004B229B">
              <w:rPr>
                <w:b/>
                <w:sz w:val="22"/>
                <w:szCs w:val="22"/>
              </w:rPr>
              <w:t xml:space="preserve">Veikla ar </w:t>
            </w:r>
            <w:proofErr w:type="spellStart"/>
            <w:r w:rsidR="00F628E3">
              <w:rPr>
                <w:b/>
                <w:sz w:val="22"/>
                <w:szCs w:val="22"/>
              </w:rPr>
              <w:t>papriemonė</w:t>
            </w:r>
            <w:proofErr w:type="spellEnd"/>
            <w:r w:rsidR="00F628E3">
              <w:rPr>
                <w:b/>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91B92" w14:textId="77777777" w:rsidR="00651AB8" w:rsidRPr="004B229B" w:rsidRDefault="00651AB8">
            <w:pPr>
              <w:jc w:val="center"/>
              <w:rPr>
                <w:b/>
                <w:sz w:val="22"/>
                <w:szCs w:val="22"/>
              </w:rPr>
            </w:pPr>
            <w:r w:rsidRPr="004B229B">
              <w:rPr>
                <w:b/>
                <w:sz w:val="22"/>
                <w:szCs w:val="22"/>
              </w:rPr>
              <w:t>Intervencinės priemonės kodas</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23BB68" w14:textId="77777777" w:rsidR="00651AB8" w:rsidRPr="004B229B" w:rsidRDefault="00651AB8">
            <w:pPr>
              <w:jc w:val="center"/>
              <w:rPr>
                <w:b/>
                <w:sz w:val="22"/>
                <w:szCs w:val="22"/>
              </w:rPr>
            </w:pPr>
            <w:r w:rsidRPr="004B229B">
              <w:rPr>
                <w:b/>
                <w:sz w:val="22"/>
                <w:szCs w:val="22"/>
              </w:rPr>
              <w:t xml:space="preserve">Regionas, kuriam priskiriama veikla ar </w:t>
            </w:r>
            <w:proofErr w:type="spellStart"/>
            <w:r w:rsidRPr="004B229B">
              <w:rPr>
                <w:b/>
                <w:sz w:val="22"/>
                <w:szCs w:val="22"/>
              </w:rPr>
              <w:t>poveiklė</w:t>
            </w:r>
            <w:proofErr w:type="spellEnd"/>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958ED" w14:textId="77777777" w:rsidR="00651AB8" w:rsidRPr="004B229B" w:rsidRDefault="00651AB8">
            <w:pPr>
              <w:jc w:val="center"/>
              <w:rPr>
                <w:b/>
                <w:sz w:val="22"/>
                <w:szCs w:val="22"/>
              </w:rPr>
            </w:pPr>
            <w:r w:rsidRPr="004B229B">
              <w:rPr>
                <w:b/>
                <w:sz w:val="22"/>
                <w:szCs w:val="22"/>
              </w:rPr>
              <w:t>Paramos formos kodas</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355544" w14:textId="77777777" w:rsidR="00651AB8" w:rsidRPr="004B229B" w:rsidRDefault="00651AB8">
            <w:pPr>
              <w:jc w:val="center"/>
              <w:rPr>
                <w:b/>
                <w:sz w:val="22"/>
                <w:szCs w:val="22"/>
              </w:rPr>
            </w:pPr>
            <w:r w:rsidRPr="004B229B">
              <w:rPr>
                <w:b/>
                <w:sz w:val="22"/>
                <w:szCs w:val="22"/>
              </w:rPr>
              <w:t>Pagrindinės teritorinės srities kodas (-ai)</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14CB07" w14:textId="77777777" w:rsidR="00651AB8" w:rsidRPr="004B229B" w:rsidRDefault="00651AB8">
            <w:pPr>
              <w:jc w:val="center"/>
              <w:rPr>
                <w:b/>
                <w:sz w:val="22"/>
                <w:szCs w:val="22"/>
              </w:rPr>
            </w:pPr>
            <w:r w:rsidRPr="004B229B">
              <w:rPr>
                <w:b/>
                <w:sz w:val="22"/>
                <w:szCs w:val="22"/>
              </w:rPr>
              <w:t>Ekonominės veiklos kodas (-ai)</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BD7D4C" w14:textId="77777777" w:rsidR="00651AB8" w:rsidRPr="004B229B" w:rsidRDefault="00651AB8">
            <w:pPr>
              <w:jc w:val="center"/>
              <w:rPr>
                <w:b/>
                <w:iCs/>
                <w:sz w:val="22"/>
                <w:szCs w:val="22"/>
              </w:rPr>
            </w:pPr>
            <w:r w:rsidRPr="004B229B">
              <w:rPr>
                <w:b/>
                <w:iCs/>
                <w:sz w:val="22"/>
                <w:szCs w:val="22"/>
              </w:rPr>
              <w:t>„Europos socialinio fondo +“ (toliau – ESF+) antrinių temų kodai</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DC615" w14:textId="77777777" w:rsidR="00651AB8" w:rsidRPr="004B229B" w:rsidRDefault="00651AB8">
            <w:pPr>
              <w:jc w:val="center"/>
              <w:rPr>
                <w:b/>
                <w:iCs/>
                <w:sz w:val="22"/>
                <w:szCs w:val="22"/>
              </w:rPr>
            </w:pPr>
            <w:r w:rsidRPr="004B229B">
              <w:rPr>
                <w:b/>
                <w:iCs/>
                <w:sz w:val="22"/>
                <w:szCs w:val="22"/>
              </w:rPr>
              <w:t>Lyčių lygybės matmens kodas</w:t>
            </w:r>
          </w:p>
        </w:tc>
        <w:tc>
          <w:tcPr>
            <w:tcW w:w="1276" w:type="dxa"/>
            <w:tcBorders>
              <w:top w:val="single" w:sz="4" w:space="0" w:color="auto"/>
              <w:left w:val="single" w:sz="4" w:space="0" w:color="auto"/>
              <w:bottom w:val="single" w:sz="4" w:space="0" w:color="auto"/>
              <w:right w:val="single" w:sz="4" w:space="0" w:color="auto"/>
            </w:tcBorders>
            <w:vAlign w:val="center"/>
          </w:tcPr>
          <w:p w14:paraId="5701FEFF" w14:textId="5CEF5598" w:rsidR="00651AB8" w:rsidRPr="004B229B" w:rsidRDefault="00651AB8" w:rsidP="00651AB8">
            <w:pPr>
              <w:jc w:val="center"/>
              <w:rPr>
                <w:b/>
                <w:iCs/>
                <w:sz w:val="22"/>
                <w:szCs w:val="22"/>
              </w:rPr>
            </w:pPr>
            <w:r w:rsidRPr="004B229B">
              <w:rPr>
                <w:b/>
                <w:iCs/>
                <w:sz w:val="22"/>
                <w:szCs w:val="22"/>
              </w:rPr>
              <w:t>Nepanaudotos Ekonomikos gaivinimo ir atsparumo didinimo priemonės lėšos</w:t>
            </w:r>
          </w:p>
          <w:p w14:paraId="447C9776" w14:textId="02A0635E" w:rsidR="00651AB8" w:rsidRPr="004B229B" w:rsidRDefault="00651AB8" w:rsidP="00651AB8">
            <w:pPr>
              <w:jc w:val="center"/>
              <w:rPr>
                <w:b/>
                <w:iCs/>
                <w:sz w:val="22"/>
                <w:szCs w:val="22"/>
              </w:rPr>
            </w:pPr>
            <w:r w:rsidRPr="004B229B">
              <w:rPr>
                <w:b/>
                <w:iCs/>
                <w:sz w:val="22"/>
                <w:szCs w:val="22"/>
              </w:rPr>
              <w:t>(Taip / Ne)</w:t>
            </w:r>
          </w:p>
        </w:tc>
      </w:tr>
      <w:tr w:rsidR="00F628E3" w:rsidRPr="004B229B" w14:paraId="48B4D198" w14:textId="77777777" w:rsidTr="009C1A68">
        <w:trPr>
          <w:trHeight w:val="278"/>
        </w:trPr>
        <w:tc>
          <w:tcPr>
            <w:tcW w:w="1135" w:type="dxa"/>
            <w:tcBorders>
              <w:top w:val="single" w:sz="4" w:space="0" w:color="auto"/>
              <w:left w:val="single" w:sz="4" w:space="0" w:color="auto"/>
              <w:bottom w:val="single" w:sz="4" w:space="0" w:color="auto"/>
              <w:right w:val="single" w:sz="4" w:space="0" w:color="auto"/>
            </w:tcBorders>
            <w:tcMar>
              <w:left w:w="28" w:type="dxa"/>
              <w:right w:w="28" w:type="dxa"/>
            </w:tcMar>
          </w:tcPr>
          <w:p w14:paraId="6C5679A5" w14:textId="3BDDDCA4" w:rsidR="00651AB8" w:rsidRPr="004B229B" w:rsidRDefault="00BD5378">
            <w:pPr>
              <w:ind w:right="-57"/>
              <w:rPr>
                <w:color w:val="000000"/>
                <w:sz w:val="22"/>
                <w:szCs w:val="22"/>
              </w:rPr>
            </w:pPr>
            <w:r w:rsidRPr="00BD5378">
              <w:rPr>
                <w:color w:val="000000"/>
                <w:sz w:val="22"/>
                <w:szCs w:val="22"/>
              </w:rPr>
              <w:t xml:space="preserve">4. </w:t>
            </w:r>
            <w:r w:rsidRPr="009C1A68">
              <w:rPr>
                <w:color w:val="000000"/>
                <w:sz w:val="22"/>
                <w:szCs w:val="22"/>
              </w:rPr>
              <w:t xml:space="preserve">Priemonių, skirtų profesiniam mokymui pameistrystės forma organizuoti ir skatinti, </w:t>
            </w:r>
            <w:r w:rsidRPr="009C1A68">
              <w:rPr>
                <w:color w:val="000000"/>
                <w:sz w:val="22"/>
                <w:szCs w:val="22"/>
              </w:rPr>
              <w:lastRenderedPageBreak/>
              <w:t>sukūrimas ir įgyvendinima</w:t>
            </w:r>
            <w:r w:rsidRPr="00D7224B">
              <w:rPr>
                <w:color w:val="000000"/>
                <w:sz w:val="22"/>
                <w:szCs w:val="22"/>
              </w:rPr>
              <w:t>s</w:t>
            </w:r>
            <w:r w:rsidRPr="00D7224B" w:rsidDel="00BD5378">
              <w:rPr>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A31B662" w14:textId="77777777" w:rsidR="009C68E7" w:rsidRPr="009C68E7" w:rsidRDefault="009C68E7" w:rsidP="009C68E7">
            <w:pPr>
              <w:jc w:val="center"/>
              <w:rPr>
                <w:sz w:val="22"/>
                <w:szCs w:val="22"/>
              </w:rPr>
            </w:pPr>
            <w:r w:rsidRPr="009C68E7">
              <w:rPr>
                <w:sz w:val="22"/>
                <w:szCs w:val="22"/>
              </w:rPr>
              <w:lastRenderedPageBreak/>
              <w:t xml:space="preserve">Ekonomikos gaivinimo ir atsparumo didinimo priemonės lėšos (EGADP), </w:t>
            </w:r>
          </w:p>
          <w:p w14:paraId="4C859E96" w14:textId="6E0A1925" w:rsidR="00651AB8" w:rsidRPr="004B229B" w:rsidRDefault="009C68E7" w:rsidP="009C68E7">
            <w:pPr>
              <w:jc w:val="center"/>
              <w:rPr>
                <w:sz w:val="22"/>
                <w:szCs w:val="22"/>
              </w:rPr>
            </w:pPr>
            <w:r w:rsidRPr="009C68E7">
              <w:rPr>
                <w:sz w:val="22"/>
                <w:szCs w:val="22"/>
              </w:rPr>
              <w:lastRenderedPageBreak/>
              <w:t>valstybės biudžeto lėšos, skirtos apmokėti bendrai finansuojamų iš ES fondų lėšų projektų netinkamam finansuoti iš ES fondų lėšų pirkimo ir (arba) importo PVM</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3D21ACD8" w14:textId="71A98F31" w:rsidR="00651AB8" w:rsidRPr="004B229B" w:rsidRDefault="005C28CB" w:rsidP="004B2817">
            <w:pPr>
              <w:jc w:val="center"/>
              <w:rPr>
                <w:sz w:val="22"/>
                <w:szCs w:val="22"/>
              </w:rPr>
            </w:pPr>
            <w:r>
              <w:rPr>
                <w:color w:val="000000"/>
                <w:sz w:val="22"/>
                <w:szCs w:val="22"/>
                <w:shd w:val="clear" w:color="auto" w:fill="FFFFFF"/>
              </w:rPr>
              <w:lastRenderedPageBreak/>
              <w:t>4 prioritetas</w:t>
            </w:r>
            <w:r>
              <w:rPr>
                <w:color w:val="000000"/>
                <w:sz w:val="18"/>
                <w:szCs w:val="18"/>
                <w:shd w:val="clear" w:color="auto" w:fill="FFFFFF"/>
              </w:rPr>
              <w:t xml:space="preserve"> </w:t>
            </w:r>
            <w:r>
              <w:rPr>
                <w:i/>
                <w:iCs/>
                <w:color w:val="000000"/>
                <w:sz w:val="18"/>
                <w:szCs w:val="18"/>
                <w:shd w:val="clear" w:color="auto" w:fill="FFFFFF"/>
              </w:rPr>
              <w:t>(Komponentas – Kokybiškas ir prieinamas švietimas visą gyvenimą kiekvienam gyventojui)</w:t>
            </w:r>
            <w:r>
              <w:rPr>
                <w:color w:val="000000"/>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53257C8C" w14:textId="77777777" w:rsidR="00774D58" w:rsidRDefault="00774D58" w:rsidP="00774D58">
            <w:pPr>
              <w:jc w:val="center"/>
              <w:rPr>
                <w:bCs/>
                <w:iCs/>
                <w:sz w:val="18"/>
              </w:rPr>
            </w:pPr>
            <w:r w:rsidRPr="00F31307">
              <w:rPr>
                <w:bCs/>
                <w:iCs/>
                <w:sz w:val="18"/>
              </w:rPr>
              <w:t>D.1.4.</w:t>
            </w:r>
            <w:r>
              <w:rPr>
                <w:bCs/>
                <w:iCs/>
                <w:sz w:val="18"/>
              </w:rPr>
              <w:t xml:space="preserve"> Kompetencijos žaliajai ir  </w:t>
            </w:r>
          </w:p>
          <w:p w14:paraId="6027D72E" w14:textId="77777777" w:rsidR="00774D58" w:rsidRDefault="00774D58" w:rsidP="00774D58">
            <w:pPr>
              <w:jc w:val="center"/>
              <w:rPr>
                <w:bCs/>
                <w:iCs/>
                <w:sz w:val="18"/>
              </w:rPr>
            </w:pPr>
            <w:r>
              <w:rPr>
                <w:bCs/>
                <w:iCs/>
                <w:sz w:val="18"/>
              </w:rPr>
              <w:t xml:space="preserve">skaitmeninei  </w:t>
            </w:r>
          </w:p>
          <w:p w14:paraId="7376F51F" w14:textId="77777777" w:rsidR="00774D58" w:rsidRDefault="00774D58" w:rsidP="00774D58">
            <w:pPr>
              <w:jc w:val="center"/>
              <w:rPr>
                <w:bCs/>
                <w:iCs/>
                <w:sz w:val="18"/>
              </w:rPr>
            </w:pPr>
            <w:r>
              <w:rPr>
                <w:bCs/>
                <w:iCs/>
                <w:sz w:val="18"/>
              </w:rPr>
              <w:t xml:space="preserve">transformacijai įgyjamos profesinio  </w:t>
            </w:r>
          </w:p>
          <w:p w14:paraId="35A6984E" w14:textId="77777777" w:rsidR="00774D58" w:rsidRDefault="00774D58" w:rsidP="00774D58">
            <w:pPr>
              <w:jc w:val="center"/>
              <w:rPr>
                <w:bCs/>
                <w:iCs/>
                <w:sz w:val="18"/>
              </w:rPr>
            </w:pPr>
            <w:r>
              <w:rPr>
                <w:bCs/>
                <w:iCs/>
                <w:sz w:val="18"/>
              </w:rPr>
              <w:t xml:space="preserve">mokymo  </w:t>
            </w:r>
          </w:p>
          <w:p w14:paraId="532DAD7E" w14:textId="77777777" w:rsidR="00774D58" w:rsidRDefault="00774D58" w:rsidP="00774D58">
            <w:pPr>
              <w:jc w:val="center"/>
              <w:rPr>
                <w:bCs/>
                <w:iCs/>
                <w:sz w:val="18"/>
              </w:rPr>
            </w:pPr>
            <w:r>
              <w:rPr>
                <w:bCs/>
                <w:iCs/>
                <w:sz w:val="18"/>
              </w:rPr>
              <w:t>sistemoje</w:t>
            </w:r>
          </w:p>
          <w:p w14:paraId="4FF0B7D4" w14:textId="68D46548" w:rsidR="00651AB8" w:rsidRPr="004B229B" w:rsidRDefault="00651AB8" w:rsidP="000843D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49697B42" w14:textId="77777777" w:rsidR="009F2B5D" w:rsidRDefault="009F2B5D" w:rsidP="009F2B5D">
            <w:pPr>
              <w:jc w:val="center"/>
              <w:rPr>
                <w:bCs/>
                <w:iCs/>
                <w:sz w:val="18"/>
                <w:szCs w:val="22"/>
              </w:rPr>
            </w:pPr>
            <w:r>
              <w:rPr>
                <w:bCs/>
                <w:iCs/>
                <w:sz w:val="18"/>
                <w:szCs w:val="22"/>
              </w:rPr>
              <w:t xml:space="preserve">D.1.4.3. </w:t>
            </w:r>
          </w:p>
          <w:p w14:paraId="60C9264B" w14:textId="6EAA7D13" w:rsidR="00651AB8" w:rsidRPr="004B229B" w:rsidRDefault="009F2B5D" w:rsidP="009F2B5D">
            <w:pPr>
              <w:jc w:val="center"/>
              <w:rPr>
                <w:sz w:val="22"/>
                <w:szCs w:val="22"/>
              </w:rPr>
            </w:pPr>
            <w:r>
              <w:rPr>
                <w:bCs/>
                <w:iCs/>
                <w:sz w:val="18"/>
                <w:szCs w:val="22"/>
              </w:rPr>
              <w:t>3 priemonė.  Pameistrystė  ir mokymasis darbo vietoje</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12827525" w14:textId="77777777" w:rsidR="00270EDD" w:rsidRDefault="00270EDD" w:rsidP="00270EDD">
            <w:pPr>
              <w:jc w:val="center"/>
              <w:rPr>
                <w:sz w:val="18"/>
                <w:szCs w:val="18"/>
              </w:rPr>
            </w:pPr>
            <w:r>
              <w:rPr>
                <w:sz w:val="18"/>
                <w:szCs w:val="18"/>
              </w:rPr>
              <w:t xml:space="preserve">103 Parama darbo rinkos poreikiams tenkinti ir pokyčiams </w:t>
            </w:r>
          </w:p>
          <w:p w14:paraId="31D4C59D" w14:textId="77777777" w:rsidR="00270EDD" w:rsidRDefault="00270EDD" w:rsidP="00270EDD">
            <w:pPr>
              <w:jc w:val="center"/>
              <w:rPr>
                <w:bCs/>
                <w:iCs/>
                <w:sz w:val="18"/>
              </w:rPr>
            </w:pPr>
          </w:p>
          <w:p w14:paraId="4AADE237" w14:textId="77777777" w:rsidR="00270EDD" w:rsidRDefault="00270EDD" w:rsidP="00270EDD">
            <w:pPr>
              <w:ind w:firstLine="48"/>
              <w:jc w:val="center"/>
              <w:rPr>
                <w:bCs/>
                <w:iCs/>
                <w:sz w:val="18"/>
              </w:rPr>
            </w:pPr>
          </w:p>
          <w:p w14:paraId="1FCEE2C4" w14:textId="0BCC2B14" w:rsidR="00651AB8" w:rsidRPr="004B229B" w:rsidRDefault="00270EDD" w:rsidP="00270EDD">
            <w:pPr>
              <w:jc w:val="center"/>
              <w:rPr>
                <w:sz w:val="22"/>
                <w:szCs w:val="22"/>
              </w:rPr>
            </w:pPr>
            <w:r>
              <w:rPr>
                <w:sz w:val="18"/>
                <w:szCs w:val="18"/>
              </w:rPr>
              <w:t>108 Parama skaitmeniniams įgūdžiams vystyti</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5EDE32AC" w14:textId="77777777" w:rsidR="00651AB8" w:rsidRPr="004B229B" w:rsidRDefault="00651AB8">
            <w:pPr>
              <w:jc w:val="center"/>
              <w:rPr>
                <w:sz w:val="22"/>
                <w:szCs w:val="22"/>
              </w:rPr>
            </w:pPr>
            <w:r w:rsidRPr="004B229B">
              <w:rPr>
                <w:sz w:val="22"/>
                <w:szCs w:val="22"/>
              </w:rPr>
              <w:t>_</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D4AD68A" w14:textId="77777777" w:rsidR="00651AB8" w:rsidRPr="004B229B" w:rsidRDefault="00651AB8">
            <w:pPr>
              <w:jc w:val="center"/>
              <w:rPr>
                <w:sz w:val="22"/>
                <w:szCs w:val="22"/>
              </w:rPr>
            </w:pPr>
            <w:r w:rsidRPr="004B229B">
              <w:rPr>
                <w:sz w:val="22"/>
                <w:szCs w:val="22"/>
              </w:rPr>
              <w:t>_</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tcPr>
          <w:p w14:paraId="0B152EBF" w14:textId="77777777" w:rsidR="00651AB8" w:rsidRPr="004B229B" w:rsidRDefault="00651AB8">
            <w:pPr>
              <w:jc w:val="center"/>
              <w:rPr>
                <w:sz w:val="22"/>
                <w:szCs w:val="22"/>
              </w:rPr>
            </w:pPr>
            <w:r w:rsidRPr="004B229B">
              <w:rPr>
                <w:sz w:val="22"/>
                <w:szCs w:val="22"/>
              </w:rPr>
              <w:t>_</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46AF1B38" w14:textId="77777777" w:rsidR="00651AB8" w:rsidRPr="004B229B" w:rsidRDefault="00651AB8">
            <w:pPr>
              <w:jc w:val="center"/>
              <w:rPr>
                <w:sz w:val="22"/>
                <w:szCs w:val="22"/>
              </w:rPr>
            </w:pPr>
            <w:r w:rsidRPr="004B229B">
              <w:rPr>
                <w:sz w:val="22"/>
                <w:szCs w:val="22"/>
              </w:rPr>
              <w:t>_</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46B41846" w14:textId="77777777" w:rsidR="00651AB8" w:rsidRPr="004B229B" w:rsidRDefault="00651AB8">
            <w:pPr>
              <w:jc w:val="center"/>
              <w:rPr>
                <w:iCs/>
                <w:sz w:val="22"/>
                <w:szCs w:val="22"/>
              </w:rPr>
            </w:pPr>
            <w:r w:rsidRPr="004B229B">
              <w:rPr>
                <w:iCs/>
                <w:sz w:val="22"/>
                <w:szCs w:val="22"/>
              </w:rPr>
              <w:t>_</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4652BBCE" w14:textId="77777777" w:rsidR="00651AB8" w:rsidRPr="004B229B" w:rsidRDefault="00651AB8">
            <w:pPr>
              <w:jc w:val="center"/>
              <w:rPr>
                <w:iCs/>
                <w:sz w:val="22"/>
                <w:szCs w:val="22"/>
              </w:rPr>
            </w:pPr>
            <w:r w:rsidRPr="004B229B">
              <w:rPr>
                <w:iCs/>
                <w:sz w:val="22"/>
                <w:szCs w:val="22"/>
              </w:rPr>
              <w:t>_</w:t>
            </w:r>
          </w:p>
        </w:tc>
        <w:tc>
          <w:tcPr>
            <w:tcW w:w="1276" w:type="dxa"/>
            <w:tcBorders>
              <w:top w:val="single" w:sz="4" w:space="0" w:color="auto"/>
              <w:left w:val="single" w:sz="4" w:space="0" w:color="auto"/>
              <w:bottom w:val="single" w:sz="4" w:space="0" w:color="auto"/>
              <w:right w:val="single" w:sz="4" w:space="0" w:color="auto"/>
            </w:tcBorders>
          </w:tcPr>
          <w:p w14:paraId="0614029C" w14:textId="651B5D3D" w:rsidR="00651AB8" w:rsidRPr="004B229B" w:rsidRDefault="00AA140E">
            <w:pPr>
              <w:jc w:val="center"/>
              <w:rPr>
                <w:iCs/>
                <w:sz w:val="22"/>
                <w:szCs w:val="22"/>
              </w:rPr>
            </w:pPr>
            <w:r>
              <w:rPr>
                <w:iCs/>
                <w:sz w:val="22"/>
                <w:szCs w:val="22"/>
              </w:rPr>
              <w:t>Ne</w:t>
            </w:r>
          </w:p>
        </w:tc>
      </w:tr>
    </w:tbl>
    <w:p w14:paraId="5BD99387" w14:textId="77777777" w:rsidR="00854253" w:rsidRDefault="00854253">
      <w:pPr>
        <w:ind w:firstLine="567"/>
        <w:jc w:val="both"/>
        <w:rPr>
          <w:i/>
          <w:i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1"/>
        <w:gridCol w:w="3688"/>
        <w:gridCol w:w="3392"/>
        <w:gridCol w:w="4181"/>
      </w:tblGrid>
      <w:tr w:rsidR="004212DB" w:rsidRPr="00A214D1" w14:paraId="28AB3D55" w14:textId="77777777" w:rsidTr="00F628E3">
        <w:trPr>
          <w:trHeight w:val="405"/>
        </w:trPr>
        <w:tc>
          <w:tcPr>
            <w:tcW w:w="15452" w:type="dxa"/>
            <w:gridSpan w:val="4"/>
            <w:vAlign w:val="center"/>
          </w:tcPr>
          <w:p w14:paraId="00F095B0" w14:textId="77777777" w:rsidR="004212DB" w:rsidRPr="00BD6FFF" w:rsidRDefault="004212DB" w:rsidP="002E1A96">
            <w:pPr>
              <w:rPr>
                <w:b/>
                <w:sz w:val="22"/>
                <w:szCs w:val="22"/>
              </w:rPr>
            </w:pPr>
            <w:r w:rsidRPr="00BD6FFF">
              <w:rPr>
                <w:b/>
                <w:sz w:val="22"/>
                <w:szCs w:val="22"/>
              </w:rPr>
              <w:t xml:space="preserve">2. Veiklos ar </w:t>
            </w:r>
            <w:proofErr w:type="spellStart"/>
            <w:r w:rsidRPr="00BD6FFF">
              <w:rPr>
                <w:b/>
                <w:sz w:val="22"/>
                <w:szCs w:val="22"/>
              </w:rPr>
              <w:t>poveiklės</w:t>
            </w:r>
            <w:proofErr w:type="spellEnd"/>
            <w:r w:rsidRPr="00BD6FFF">
              <w:rPr>
                <w:b/>
                <w:sz w:val="22"/>
                <w:szCs w:val="22"/>
              </w:rPr>
              <w:t xml:space="preserve"> rodikliai</w:t>
            </w:r>
          </w:p>
        </w:tc>
      </w:tr>
      <w:tr w:rsidR="004212DB" w14:paraId="730D4F2E" w14:textId="77777777" w:rsidTr="00F628E3">
        <w:trPr>
          <w:trHeight w:val="405"/>
        </w:trPr>
        <w:tc>
          <w:tcPr>
            <w:tcW w:w="4191" w:type="dxa"/>
            <w:vAlign w:val="center"/>
          </w:tcPr>
          <w:p w14:paraId="4C5CA8CA" w14:textId="77777777" w:rsidR="004212DB" w:rsidRPr="00BD6FFF" w:rsidRDefault="004212DB" w:rsidP="002E1A96">
            <w:pPr>
              <w:jc w:val="center"/>
              <w:rPr>
                <w:sz w:val="22"/>
                <w:szCs w:val="22"/>
              </w:rPr>
            </w:pPr>
            <w:r w:rsidRPr="00BD6FFF">
              <w:rPr>
                <w:sz w:val="22"/>
                <w:szCs w:val="22"/>
              </w:rPr>
              <w:t>Rodiklio pavadinimas</w:t>
            </w:r>
          </w:p>
        </w:tc>
        <w:tc>
          <w:tcPr>
            <w:tcW w:w="3688" w:type="dxa"/>
            <w:vAlign w:val="center"/>
          </w:tcPr>
          <w:p w14:paraId="19C43A98" w14:textId="77777777" w:rsidR="004212DB" w:rsidRPr="00BD6FFF" w:rsidRDefault="004212DB" w:rsidP="002E1A96">
            <w:pPr>
              <w:jc w:val="center"/>
              <w:rPr>
                <w:sz w:val="22"/>
                <w:szCs w:val="22"/>
              </w:rPr>
            </w:pPr>
            <w:r w:rsidRPr="00BD6FFF">
              <w:rPr>
                <w:sz w:val="22"/>
                <w:szCs w:val="22"/>
              </w:rPr>
              <w:t>Rodiklio kodas</w:t>
            </w:r>
          </w:p>
        </w:tc>
        <w:tc>
          <w:tcPr>
            <w:tcW w:w="3392" w:type="dxa"/>
            <w:vAlign w:val="center"/>
          </w:tcPr>
          <w:p w14:paraId="180895EA" w14:textId="77777777" w:rsidR="004212DB" w:rsidRPr="00BD6FFF" w:rsidRDefault="004212DB" w:rsidP="002E1A96">
            <w:pPr>
              <w:jc w:val="center"/>
              <w:rPr>
                <w:sz w:val="22"/>
                <w:szCs w:val="22"/>
              </w:rPr>
            </w:pPr>
            <w:r w:rsidRPr="00BD6FFF">
              <w:rPr>
                <w:sz w:val="22"/>
                <w:szCs w:val="22"/>
              </w:rPr>
              <w:t>Matavimo vienetai</w:t>
            </w:r>
          </w:p>
        </w:tc>
        <w:tc>
          <w:tcPr>
            <w:tcW w:w="4181" w:type="dxa"/>
            <w:vAlign w:val="center"/>
          </w:tcPr>
          <w:p w14:paraId="1C6BEA6E" w14:textId="77777777" w:rsidR="004212DB" w:rsidRPr="00BD6FFF" w:rsidRDefault="004212DB" w:rsidP="002E1A96">
            <w:pPr>
              <w:jc w:val="center"/>
              <w:rPr>
                <w:sz w:val="22"/>
                <w:szCs w:val="22"/>
              </w:rPr>
            </w:pPr>
            <w:r w:rsidRPr="00BD6FFF">
              <w:rPr>
                <w:sz w:val="22"/>
                <w:szCs w:val="22"/>
              </w:rPr>
              <w:t>Siektina reikšmė ir pasiekimo data</w:t>
            </w:r>
          </w:p>
        </w:tc>
      </w:tr>
      <w:tr w:rsidR="004212DB" w14:paraId="7E72447A" w14:textId="77777777" w:rsidTr="00F628E3">
        <w:trPr>
          <w:trHeight w:val="405"/>
        </w:trPr>
        <w:tc>
          <w:tcPr>
            <w:tcW w:w="15452" w:type="dxa"/>
            <w:gridSpan w:val="4"/>
            <w:vAlign w:val="center"/>
          </w:tcPr>
          <w:p w14:paraId="60A39404" w14:textId="790EE088" w:rsidR="004212DB" w:rsidRPr="00BD6FFF" w:rsidRDefault="004212DB" w:rsidP="00E47313">
            <w:pPr>
              <w:rPr>
                <w:color w:val="000000"/>
                <w:sz w:val="22"/>
                <w:szCs w:val="22"/>
              </w:rPr>
            </w:pPr>
            <w:r w:rsidRPr="00BD6FFF">
              <w:rPr>
                <w:color w:val="000000"/>
                <w:sz w:val="22"/>
                <w:szCs w:val="22"/>
              </w:rPr>
              <w:t>2.</w:t>
            </w:r>
            <w:r w:rsidR="00230D9D">
              <w:rPr>
                <w:color w:val="000000"/>
                <w:sz w:val="22"/>
                <w:szCs w:val="22"/>
              </w:rPr>
              <w:t xml:space="preserve">1. </w:t>
            </w:r>
            <w:proofErr w:type="spellStart"/>
            <w:r w:rsidR="00D4366F">
              <w:rPr>
                <w:color w:val="000000"/>
                <w:sz w:val="22"/>
                <w:szCs w:val="22"/>
              </w:rPr>
              <w:t>Poveiklės</w:t>
            </w:r>
            <w:proofErr w:type="spellEnd"/>
            <w:r w:rsidR="00D4366F">
              <w:rPr>
                <w:color w:val="000000"/>
                <w:sz w:val="22"/>
                <w:szCs w:val="22"/>
              </w:rPr>
              <w:t xml:space="preserve"> </w:t>
            </w:r>
            <w:r w:rsidR="00230D9D" w:rsidRPr="00230D9D">
              <w:rPr>
                <w:color w:val="000000"/>
                <w:sz w:val="22"/>
                <w:szCs w:val="22"/>
              </w:rPr>
              <w:t xml:space="preserve">4. </w:t>
            </w:r>
            <w:r w:rsidR="002D3004">
              <w:rPr>
                <w:color w:val="000000"/>
                <w:sz w:val="22"/>
                <w:szCs w:val="22"/>
              </w:rPr>
              <w:t>„</w:t>
            </w:r>
            <w:r w:rsidR="00230D9D" w:rsidRPr="00230D9D">
              <w:rPr>
                <w:color w:val="000000"/>
                <w:sz w:val="22"/>
                <w:szCs w:val="22"/>
              </w:rPr>
              <w:t>Priemonių, skirtų profesiniam mokymui pameistrystės forma organizuoti ir skatinti, sukūrimas ir įgyvendinimas</w:t>
            </w:r>
            <w:r w:rsidR="002D3004">
              <w:rPr>
                <w:color w:val="000000"/>
                <w:sz w:val="22"/>
                <w:szCs w:val="22"/>
              </w:rPr>
              <w:t>“ rodikliai</w:t>
            </w:r>
          </w:p>
        </w:tc>
      </w:tr>
      <w:tr w:rsidR="009266C0" w14:paraId="57BC17A3" w14:textId="77777777" w:rsidTr="00F628E3">
        <w:trPr>
          <w:trHeight w:val="725"/>
        </w:trPr>
        <w:tc>
          <w:tcPr>
            <w:tcW w:w="4191" w:type="dxa"/>
          </w:tcPr>
          <w:p w14:paraId="0751BEA3" w14:textId="23C75A31" w:rsidR="009266C0" w:rsidRPr="00DC76D7" w:rsidRDefault="009266C0" w:rsidP="00BD6FFF">
            <w:pPr>
              <w:jc w:val="center"/>
              <w:rPr>
                <w:szCs w:val="24"/>
              </w:rPr>
            </w:pPr>
            <w:r w:rsidRPr="007C60E0">
              <w:rPr>
                <w:szCs w:val="24"/>
              </w:rPr>
              <w:t>Išduotų dalyvavimo mokymuose pažymėjimų skaičius</w:t>
            </w:r>
          </w:p>
        </w:tc>
        <w:tc>
          <w:tcPr>
            <w:tcW w:w="3688" w:type="dxa"/>
          </w:tcPr>
          <w:p w14:paraId="0AE97C2A" w14:textId="77777777" w:rsidR="009266C0" w:rsidRPr="001E4C31" w:rsidRDefault="009266C0" w:rsidP="009266C0">
            <w:pPr>
              <w:jc w:val="center"/>
              <w:rPr>
                <w:iCs/>
                <w:sz w:val="22"/>
                <w:szCs w:val="22"/>
              </w:rPr>
            </w:pPr>
            <w:r w:rsidRPr="001E4C31">
              <w:rPr>
                <w:iCs/>
                <w:sz w:val="22"/>
                <w:szCs w:val="22"/>
              </w:rPr>
              <w:t>P-12-003-03-04-03-15</w:t>
            </w:r>
          </w:p>
          <w:p w14:paraId="660B15E8" w14:textId="3A4D0F01" w:rsidR="009266C0" w:rsidRPr="001E4C31" w:rsidRDefault="009266C0" w:rsidP="009266C0">
            <w:pPr>
              <w:jc w:val="center"/>
              <w:rPr>
                <w:iCs/>
                <w:sz w:val="22"/>
                <w:szCs w:val="22"/>
              </w:rPr>
            </w:pPr>
            <w:r w:rsidRPr="001E4C31">
              <w:rPr>
                <w:iCs/>
                <w:sz w:val="22"/>
                <w:szCs w:val="22"/>
              </w:rPr>
              <w:t>P.S.1.1117</w:t>
            </w:r>
          </w:p>
        </w:tc>
        <w:tc>
          <w:tcPr>
            <w:tcW w:w="3392" w:type="dxa"/>
          </w:tcPr>
          <w:p w14:paraId="525442F1" w14:textId="0E867DCF" w:rsidR="009266C0" w:rsidRPr="00BD6FFF" w:rsidRDefault="009266C0" w:rsidP="00BD6FFF">
            <w:pPr>
              <w:jc w:val="center"/>
              <w:rPr>
                <w:iCs/>
                <w:sz w:val="22"/>
                <w:szCs w:val="22"/>
              </w:rPr>
            </w:pPr>
            <w:r>
              <w:rPr>
                <w:iCs/>
                <w:sz w:val="22"/>
                <w:szCs w:val="22"/>
              </w:rPr>
              <w:t>Skaičius</w:t>
            </w:r>
          </w:p>
        </w:tc>
        <w:tc>
          <w:tcPr>
            <w:tcW w:w="4181" w:type="dxa"/>
          </w:tcPr>
          <w:p w14:paraId="0598F358" w14:textId="2E482B4F" w:rsidR="009266C0" w:rsidRPr="009F0C4D" w:rsidRDefault="009266C0" w:rsidP="00BD6FFF">
            <w:pPr>
              <w:jc w:val="center"/>
              <w:rPr>
                <w:sz w:val="22"/>
                <w:szCs w:val="22"/>
              </w:rPr>
            </w:pPr>
            <w:r w:rsidRPr="009F0C4D">
              <w:rPr>
                <w:sz w:val="22"/>
                <w:szCs w:val="22"/>
              </w:rPr>
              <w:t>3866</w:t>
            </w:r>
          </w:p>
        </w:tc>
      </w:tr>
      <w:tr w:rsidR="00A32E69" w14:paraId="02A7DB54" w14:textId="77777777" w:rsidTr="00F628E3">
        <w:trPr>
          <w:trHeight w:val="725"/>
        </w:trPr>
        <w:tc>
          <w:tcPr>
            <w:tcW w:w="4191" w:type="dxa"/>
          </w:tcPr>
          <w:p w14:paraId="72D15F4D" w14:textId="77777777" w:rsidR="009266C0" w:rsidRPr="009F0C4D" w:rsidRDefault="009266C0" w:rsidP="009266C0">
            <w:pPr>
              <w:jc w:val="center"/>
              <w:rPr>
                <w:szCs w:val="24"/>
              </w:rPr>
            </w:pPr>
            <w:r w:rsidRPr="009F0C4D">
              <w:rPr>
                <w:szCs w:val="24"/>
              </w:rPr>
              <w:t>Įgyvendintos profesinio mokymo programos pameistrystės forma</w:t>
            </w:r>
          </w:p>
          <w:p w14:paraId="5EB54288" w14:textId="5E2DF2C5" w:rsidR="00A32E69" w:rsidRPr="009F0C4D" w:rsidDel="00EA337C" w:rsidRDefault="00A32E69" w:rsidP="00A32E69">
            <w:pPr>
              <w:jc w:val="center"/>
              <w:rPr>
                <w:szCs w:val="24"/>
              </w:rPr>
            </w:pPr>
          </w:p>
        </w:tc>
        <w:tc>
          <w:tcPr>
            <w:tcW w:w="3688" w:type="dxa"/>
          </w:tcPr>
          <w:p w14:paraId="6E5D44B9" w14:textId="05668F51" w:rsidR="00C146B7" w:rsidRPr="009F0C4D" w:rsidRDefault="00C146B7" w:rsidP="00C146B7">
            <w:pPr>
              <w:jc w:val="center"/>
              <w:rPr>
                <w:iCs/>
                <w:sz w:val="22"/>
                <w:szCs w:val="22"/>
              </w:rPr>
            </w:pPr>
            <w:r w:rsidRPr="009F0C4D">
              <w:rPr>
                <w:iCs/>
                <w:sz w:val="22"/>
                <w:szCs w:val="22"/>
              </w:rPr>
              <w:t>P-12-003-03-04-03-33</w:t>
            </w:r>
          </w:p>
          <w:p w14:paraId="6AC6461A" w14:textId="0B2258CF" w:rsidR="00A32E69" w:rsidRPr="009F0C4D" w:rsidRDefault="00C146B7" w:rsidP="00C146B7">
            <w:pPr>
              <w:jc w:val="center"/>
              <w:rPr>
                <w:iCs/>
                <w:sz w:val="22"/>
                <w:szCs w:val="22"/>
              </w:rPr>
            </w:pPr>
            <w:r w:rsidRPr="009F0C4D">
              <w:rPr>
                <w:iCs/>
                <w:sz w:val="22"/>
                <w:szCs w:val="22"/>
              </w:rPr>
              <w:t>P.S.1.1117.1</w:t>
            </w:r>
          </w:p>
        </w:tc>
        <w:tc>
          <w:tcPr>
            <w:tcW w:w="3392" w:type="dxa"/>
          </w:tcPr>
          <w:p w14:paraId="644471E2" w14:textId="77777777" w:rsidR="002407EF" w:rsidRPr="009F0C4D" w:rsidRDefault="002407EF" w:rsidP="002407EF">
            <w:pPr>
              <w:jc w:val="center"/>
              <w:rPr>
                <w:iCs/>
                <w:sz w:val="22"/>
                <w:szCs w:val="22"/>
              </w:rPr>
            </w:pPr>
            <w:r w:rsidRPr="009F0C4D">
              <w:rPr>
                <w:iCs/>
                <w:sz w:val="22"/>
                <w:szCs w:val="22"/>
              </w:rPr>
              <w:t>Asmenys</w:t>
            </w:r>
          </w:p>
          <w:p w14:paraId="537C4676" w14:textId="60FE155D" w:rsidR="00A32E69" w:rsidRPr="009F0C4D" w:rsidDel="00D14887" w:rsidRDefault="00A32E69" w:rsidP="00A32E69">
            <w:pPr>
              <w:jc w:val="center"/>
              <w:rPr>
                <w:iCs/>
                <w:sz w:val="22"/>
                <w:szCs w:val="22"/>
              </w:rPr>
            </w:pPr>
          </w:p>
        </w:tc>
        <w:tc>
          <w:tcPr>
            <w:tcW w:w="4181" w:type="dxa"/>
          </w:tcPr>
          <w:p w14:paraId="61A7EFD0" w14:textId="58ED813C" w:rsidR="00A32E69" w:rsidRPr="009F0C4D" w:rsidRDefault="002407EF" w:rsidP="00A32E69">
            <w:pPr>
              <w:jc w:val="center"/>
              <w:rPr>
                <w:sz w:val="22"/>
                <w:szCs w:val="22"/>
              </w:rPr>
            </w:pPr>
            <w:r w:rsidRPr="009F0C4D">
              <w:rPr>
                <w:sz w:val="22"/>
                <w:szCs w:val="22"/>
              </w:rPr>
              <w:t>3866</w:t>
            </w:r>
          </w:p>
        </w:tc>
      </w:tr>
      <w:tr w:rsidR="00A32E69" w14:paraId="42250102" w14:textId="77777777" w:rsidTr="00DC76D7">
        <w:trPr>
          <w:trHeight w:val="725"/>
        </w:trPr>
        <w:tc>
          <w:tcPr>
            <w:tcW w:w="4191" w:type="dxa"/>
          </w:tcPr>
          <w:p w14:paraId="73999E71" w14:textId="02D960A5" w:rsidR="00A32E69" w:rsidRPr="00BD6FFF" w:rsidRDefault="00A32E69" w:rsidP="00A32E69">
            <w:pPr>
              <w:jc w:val="center"/>
              <w:rPr>
                <w:sz w:val="22"/>
                <w:szCs w:val="22"/>
              </w:rPr>
            </w:pPr>
            <w:r>
              <w:rPr>
                <w:color w:val="000000"/>
                <w:sz w:val="22"/>
                <w:szCs w:val="22"/>
                <w:lang w:eastAsia="lt-LT"/>
              </w:rPr>
              <w:t>Švietimo ar mokymo veiklos dalyvių skaičius </w:t>
            </w:r>
          </w:p>
        </w:tc>
        <w:tc>
          <w:tcPr>
            <w:tcW w:w="3688" w:type="dxa"/>
            <w:vAlign w:val="center"/>
          </w:tcPr>
          <w:p w14:paraId="685D59A1" w14:textId="77777777" w:rsidR="00A32E69" w:rsidRDefault="00A32E69" w:rsidP="00A32E69">
            <w:pPr>
              <w:ind w:firstLine="141"/>
              <w:jc w:val="center"/>
              <w:rPr>
                <w:szCs w:val="22"/>
              </w:rPr>
            </w:pPr>
            <w:r>
              <w:rPr>
                <w:sz w:val="22"/>
                <w:szCs w:val="22"/>
              </w:rPr>
              <w:t>R-12-003-03-04-03-19</w:t>
            </w:r>
          </w:p>
          <w:p w14:paraId="67605ADF" w14:textId="60445E77" w:rsidR="00A32E69" w:rsidRPr="00BD6FFF" w:rsidRDefault="00A32E69" w:rsidP="00A32E69">
            <w:pPr>
              <w:jc w:val="center"/>
              <w:rPr>
                <w:iCs/>
                <w:sz w:val="22"/>
                <w:szCs w:val="22"/>
              </w:rPr>
            </w:pPr>
            <w:r>
              <w:rPr>
                <w:sz w:val="22"/>
                <w:szCs w:val="22"/>
              </w:rPr>
              <w:t>R.B.1.2010</w:t>
            </w:r>
          </w:p>
        </w:tc>
        <w:tc>
          <w:tcPr>
            <w:tcW w:w="3392" w:type="dxa"/>
            <w:vAlign w:val="center"/>
          </w:tcPr>
          <w:p w14:paraId="768B06BC" w14:textId="39E8D811" w:rsidR="00A32E69" w:rsidRPr="00BD6FFF" w:rsidRDefault="00A32E69" w:rsidP="00A32E69">
            <w:pPr>
              <w:jc w:val="center"/>
              <w:rPr>
                <w:iCs/>
                <w:sz w:val="22"/>
                <w:szCs w:val="22"/>
              </w:rPr>
            </w:pPr>
            <w:r>
              <w:rPr>
                <w:sz w:val="22"/>
                <w:szCs w:val="22"/>
                <w:lang w:eastAsia="lt-LT"/>
              </w:rPr>
              <w:t>Asmenys</w:t>
            </w:r>
          </w:p>
        </w:tc>
        <w:tc>
          <w:tcPr>
            <w:tcW w:w="4181" w:type="dxa"/>
            <w:vAlign w:val="center"/>
          </w:tcPr>
          <w:p w14:paraId="4E8E3F73" w14:textId="34B5E00A" w:rsidR="00A32E69" w:rsidRPr="00BD6FFF" w:rsidRDefault="00A32E69" w:rsidP="00A32E69">
            <w:pPr>
              <w:jc w:val="center"/>
              <w:rPr>
                <w:sz w:val="22"/>
                <w:szCs w:val="22"/>
              </w:rPr>
            </w:pPr>
            <w:r>
              <w:rPr>
                <w:sz w:val="22"/>
                <w:szCs w:val="22"/>
                <w:lang w:eastAsia="lt-LT"/>
              </w:rPr>
              <w:t>n /a</w:t>
            </w:r>
          </w:p>
        </w:tc>
      </w:tr>
      <w:tr w:rsidR="00A32E69" w14:paraId="62D3FA59" w14:textId="77777777" w:rsidTr="00DC76D7">
        <w:trPr>
          <w:trHeight w:val="725"/>
        </w:trPr>
        <w:tc>
          <w:tcPr>
            <w:tcW w:w="4191" w:type="dxa"/>
          </w:tcPr>
          <w:p w14:paraId="101EEAA6" w14:textId="07B36857" w:rsidR="00A32E69" w:rsidRPr="00BD6FFF" w:rsidRDefault="00A32E69" w:rsidP="00A32E69">
            <w:pPr>
              <w:jc w:val="center"/>
              <w:rPr>
                <w:sz w:val="22"/>
                <w:szCs w:val="22"/>
              </w:rPr>
            </w:pPr>
            <w:r>
              <w:rPr>
                <w:bCs/>
                <w:color w:val="000000"/>
                <w:sz w:val="22"/>
                <w:szCs w:val="22"/>
              </w:rPr>
              <w:lastRenderedPageBreak/>
              <w:t>Švietimo ar mokymo veiklos dalyvių skaičius, iš jų</w:t>
            </w:r>
            <w:r>
              <w:rPr>
                <w:b/>
                <w:bCs/>
                <w:color w:val="000000"/>
                <w:sz w:val="22"/>
                <w:szCs w:val="22"/>
              </w:rPr>
              <w:t xml:space="preserve"> </w:t>
            </w:r>
            <w:r>
              <w:rPr>
                <w:color w:val="000000"/>
                <w:sz w:val="22"/>
                <w:szCs w:val="22"/>
              </w:rPr>
              <w:t>švietimo ir mokymo veiklos dalyvių skaičius</w:t>
            </w:r>
          </w:p>
        </w:tc>
        <w:tc>
          <w:tcPr>
            <w:tcW w:w="3688" w:type="dxa"/>
            <w:vAlign w:val="center"/>
          </w:tcPr>
          <w:p w14:paraId="08B679EC" w14:textId="77777777" w:rsidR="00A32E69" w:rsidRDefault="00A32E69" w:rsidP="00A32E69">
            <w:pPr>
              <w:ind w:firstLine="141"/>
              <w:jc w:val="center"/>
              <w:rPr>
                <w:szCs w:val="22"/>
              </w:rPr>
            </w:pPr>
            <w:r>
              <w:rPr>
                <w:sz w:val="22"/>
                <w:szCs w:val="22"/>
              </w:rPr>
              <w:t>R-12-003-03-04-03-20</w:t>
            </w:r>
          </w:p>
          <w:p w14:paraId="0D1C9C61" w14:textId="5B6FFB92" w:rsidR="00A32E69" w:rsidRPr="00BD6FFF" w:rsidRDefault="00A32E69" w:rsidP="00A32E69">
            <w:pPr>
              <w:jc w:val="center"/>
              <w:rPr>
                <w:iCs/>
                <w:sz w:val="22"/>
                <w:szCs w:val="22"/>
              </w:rPr>
            </w:pPr>
            <w:r>
              <w:rPr>
                <w:sz w:val="22"/>
                <w:szCs w:val="22"/>
              </w:rPr>
              <w:t>R.B.1.2010.1</w:t>
            </w:r>
          </w:p>
        </w:tc>
        <w:tc>
          <w:tcPr>
            <w:tcW w:w="3392" w:type="dxa"/>
            <w:vAlign w:val="center"/>
          </w:tcPr>
          <w:p w14:paraId="1DA7DFF3" w14:textId="7212E9A7" w:rsidR="00A32E69" w:rsidRPr="00BD6FFF" w:rsidRDefault="00A32E69" w:rsidP="00A32E69">
            <w:pPr>
              <w:jc w:val="center"/>
              <w:rPr>
                <w:iCs/>
                <w:sz w:val="22"/>
                <w:szCs w:val="22"/>
              </w:rPr>
            </w:pPr>
            <w:r>
              <w:rPr>
                <w:sz w:val="22"/>
                <w:szCs w:val="22"/>
                <w:lang w:eastAsia="lt-LT"/>
              </w:rPr>
              <w:t>Asmenys</w:t>
            </w:r>
          </w:p>
        </w:tc>
        <w:tc>
          <w:tcPr>
            <w:tcW w:w="4181" w:type="dxa"/>
            <w:vAlign w:val="center"/>
          </w:tcPr>
          <w:p w14:paraId="4C473548" w14:textId="5A9A8ECC" w:rsidR="00A32E69" w:rsidRPr="00BD6FFF" w:rsidRDefault="00A32E69" w:rsidP="00A32E69">
            <w:pPr>
              <w:jc w:val="center"/>
              <w:rPr>
                <w:sz w:val="22"/>
                <w:szCs w:val="22"/>
              </w:rPr>
            </w:pPr>
            <w:r>
              <w:rPr>
                <w:sz w:val="22"/>
                <w:szCs w:val="22"/>
                <w:lang w:eastAsia="lt-LT"/>
              </w:rPr>
              <w:t>n /a</w:t>
            </w:r>
          </w:p>
        </w:tc>
      </w:tr>
      <w:tr w:rsidR="00A32E69" w14:paraId="505809A5" w14:textId="77777777" w:rsidTr="00DC76D7">
        <w:trPr>
          <w:trHeight w:val="725"/>
        </w:trPr>
        <w:tc>
          <w:tcPr>
            <w:tcW w:w="4191" w:type="dxa"/>
          </w:tcPr>
          <w:p w14:paraId="26AD6A0A" w14:textId="7FC511C6" w:rsidR="00A32E69" w:rsidRPr="00BD6FFF" w:rsidRDefault="00A32E69" w:rsidP="00A32E69">
            <w:pPr>
              <w:jc w:val="center"/>
              <w:rPr>
                <w:sz w:val="22"/>
                <w:szCs w:val="22"/>
              </w:rPr>
            </w:pPr>
            <w:r>
              <w:rPr>
                <w:sz w:val="22"/>
                <w:szCs w:val="22"/>
                <w:lang w:eastAsia="lt-LT"/>
              </w:rPr>
              <w:t>Paramą gaunančių 15–29 metų amžiaus jaunuolių skaičius</w:t>
            </w:r>
          </w:p>
        </w:tc>
        <w:tc>
          <w:tcPr>
            <w:tcW w:w="3688" w:type="dxa"/>
            <w:vAlign w:val="center"/>
          </w:tcPr>
          <w:p w14:paraId="4647D53C" w14:textId="77777777" w:rsidR="00A32E69" w:rsidRDefault="00A32E69" w:rsidP="00A32E69">
            <w:pPr>
              <w:ind w:firstLine="141"/>
              <w:jc w:val="center"/>
              <w:rPr>
                <w:szCs w:val="22"/>
              </w:rPr>
            </w:pPr>
            <w:r>
              <w:rPr>
                <w:sz w:val="22"/>
                <w:szCs w:val="22"/>
              </w:rPr>
              <w:t>R-12-003-03-04-03-22</w:t>
            </w:r>
          </w:p>
          <w:p w14:paraId="65C9C298" w14:textId="4CCC45D3" w:rsidR="00A32E69" w:rsidRPr="00BD6FFF" w:rsidRDefault="00A32E69" w:rsidP="00A32E69">
            <w:pPr>
              <w:jc w:val="center"/>
              <w:rPr>
                <w:iCs/>
                <w:sz w:val="22"/>
                <w:szCs w:val="22"/>
              </w:rPr>
            </w:pPr>
            <w:r>
              <w:rPr>
                <w:sz w:val="22"/>
                <w:szCs w:val="22"/>
              </w:rPr>
              <w:t>R.B.1.2014</w:t>
            </w:r>
          </w:p>
        </w:tc>
        <w:tc>
          <w:tcPr>
            <w:tcW w:w="3392" w:type="dxa"/>
            <w:vAlign w:val="center"/>
          </w:tcPr>
          <w:p w14:paraId="083B2D92" w14:textId="539F8020" w:rsidR="00A32E69" w:rsidRPr="00BD6FFF" w:rsidRDefault="00A32E69" w:rsidP="00A32E69">
            <w:pPr>
              <w:jc w:val="center"/>
              <w:rPr>
                <w:iCs/>
                <w:sz w:val="22"/>
                <w:szCs w:val="22"/>
              </w:rPr>
            </w:pPr>
            <w:r>
              <w:rPr>
                <w:sz w:val="22"/>
                <w:szCs w:val="22"/>
                <w:lang w:eastAsia="lt-LT"/>
              </w:rPr>
              <w:t>Asmenys</w:t>
            </w:r>
          </w:p>
        </w:tc>
        <w:tc>
          <w:tcPr>
            <w:tcW w:w="4181" w:type="dxa"/>
            <w:vAlign w:val="center"/>
          </w:tcPr>
          <w:p w14:paraId="614FE02D" w14:textId="2903289D" w:rsidR="00A32E69" w:rsidRPr="00BD6FFF" w:rsidRDefault="00A32E69" w:rsidP="00A32E69">
            <w:pPr>
              <w:jc w:val="center"/>
              <w:rPr>
                <w:sz w:val="22"/>
                <w:szCs w:val="22"/>
              </w:rPr>
            </w:pPr>
            <w:r>
              <w:rPr>
                <w:sz w:val="22"/>
                <w:szCs w:val="22"/>
                <w:lang w:eastAsia="lt-LT"/>
              </w:rPr>
              <w:t>n /a</w:t>
            </w:r>
          </w:p>
        </w:tc>
      </w:tr>
      <w:tr w:rsidR="00A32E69" w14:paraId="21A96F3D" w14:textId="77777777" w:rsidTr="00DC76D7">
        <w:trPr>
          <w:trHeight w:val="725"/>
        </w:trPr>
        <w:tc>
          <w:tcPr>
            <w:tcW w:w="4191" w:type="dxa"/>
          </w:tcPr>
          <w:p w14:paraId="4402BE10" w14:textId="321BB0EF" w:rsidR="00A32E69" w:rsidRPr="00561B47" w:rsidRDefault="00A32E69" w:rsidP="00A32E69">
            <w:pPr>
              <w:jc w:val="center"/>
              <w:rPr>
                <w:sz w:val="22"/>
                <w:szCs w:val="22"/>
              </w:rPr>
            </w:pPr>
            <w:r w:rsidRPr="00657857">
              <w:rPr>
                <w:sz w:val="22"/>
                <w:szCs w:val="22"/>
                <w:lang w:eastAsia="lt-LT"/>
              </w:rPr>
              <w:t>Švietimo ar mokymo veiklos dalyvių skaičius, iš jų skaitmeninių įgūdžių ugdymo veiklos dalyvių skaičius</w:t>
            </w:r>
          </w:p>
        </w:tc>
        <w:tc>
          <w:tcPr>
            <w:tcW w:w="3688" w:type="dxa"/>
            <w:vAlign w:val="center"/>
          </w:tcPr>
          <w:p w14:paraId="6B5F9D0F" w14:textId="77777777" w:rsidR="00A32E69" w:rsidRDefault="00A32E69" w:rsidP="00A32E69">
            <w:pPr>
              <w:ind w:firstLine="141"/>
              <w:jc w:val="center"/>
              <w:rPr>
                <w:szCs w:val="22"/>
              </w:rPr>
            </w:pPr>
            <w:r>
              <w:rPr>
                <w:sz w:val="22"/>
                <w:szCs w:val="22"/>
              </w:rPr>
              <w:t>R-12-003-03-04-03-21</w:t>
            </w:r>
          </w:p>
          <w:p w14:paraId="5F96DEF0" w14:textId="4E19394A" w:rsidR="00A32E69" w:rsidRPr="00561B47" w:rsidRDefault="00A32E69" w:rsidP="00A32E69">
            <w:pPr>
              <w:jc w:val="center"/>
              <w:rPr>
                <w:iCs/>
                <w:sz w:val="22"/>
                <w:szCs w:val="22"/>
              </w:rPr>
            </w:pPr>
            <w:r>
              <w:rPr>
                <w:sz w:val="22"/>
                <w:szCs w:val="22"/>
              </w:rPr>
              <w:t>R.B.1.2010.2</w:t>
            </w:r>
          </w:p>
        </w:tc>
        <w:tc>
          <w:tcPr>
            <w:tcW w:w="3392" w:type="dxa"/>
            <w:vAlign w:val="center"/>
          </w:tcPr>
          <w:p w14:paraId="39F37441" w14:textId="38B7BB01" w:rsidR="00A32E69" w:rsidRPr="00561B47" w:rsidRDefault="00A32E69" w:rsidP="00A32E69">
            <w:pPr>
              <w:jc w:val="center"/>
              <w:rPr>
                <w:iCs/>
                <w:sz w:val="22"/>
                <w:szCs w:val="22"/>
              </w:rPr>
            </w:pPr>
            <w:r>
              <w:rPr>
                <w:sz w:val="22"/>
                <w:szCs w:val="22"/>
                <w:lang w:eastAsia="lt-LT"/>
              </w:rPr>
              <w:t>Asmenys</w:t>
            </w:r>
          </w:p>
        </w:tc>
        <w:tc>
          <w:tcPr>
            <w:tcW w:w="4181" w:type="dxa"/>
            <w:vAlign w:val="center"/>
          </w:tcPr>
          <w:p w14:paraId="15E8DE6B" w14:textId="7A2596F3" w:rsidR="00A32E69" w:rsidRPr="00561B47" w:rsidRDefault="00A32E69" w:rsidP="00A32E69">
            <w:pPr>
              <w:jc w:val="center"/>
              <w:rPr>
                <w:sz w:val="22"/>
                <w:szCs w:val="22"/>
              </w:rPr>
            </w:pPr>
            <w:r>
              <w:rPr>
                <w:sz w:val="22"/>
                <w:szCs w:val="22"/>
                <w:lang w:eastAsia="lt-LT"/>
              </w:rPr>
              <w:t>40 proc. nuo pasiektos produkto rodiklio P-12-003-03-04-03-</w:t>
            </w:r>
            <w:r w:rsidR="004523E5" w:rsidRPr="0020212E">
              <w:rPr>
                <w:sz w:val="22"/>
                <w:szCs w:val="22"/>
                <w:lang w:eastAsia="lt-LT"/>
              </w:rPr>
              <w:t>33</w:t>
            </w:r>
            <w:r w:rsidRPr="0020212E">
              <w:rPr>
                <w:sz w:val="22"/>
                <w:szCs w:val="22"/>
                <w:lang w:eastAsia="lt-LT"/>
              </w:rPr>
              <w:t xml:space="preserve"> (P.S.1.1117</w:t>
            </w:r>
            <w:r w:rsidR="00B365BF" w:rsidRPr="0020212E">
              <w:rPr>
                <w:sz w:val="22"/>
                <w:szCs w:val="22"/>
                <w:lang w:eastAsia="lt-LT"/>
              </w:rPr>
              <w:t>.1</w:t>
            </w:r>
            <w:r w:rsidRPr="0020212E">
              <w:rPr>
                <w:sz w:val="22"/>
                <w:szCs w:val="22"/>
                <w:lang w:eastAsia="lt-LT"/>
              </w:rPr>
              <w:t>)</w:t>
            </w:r>
            <w:r>
              <w:rPr>
                <w:sz w:val="22"/>
                <w:szCs w:val="22"/>
                <w:lang w:eastAsia="lt-LT"/>
              </w:rPr>
              <w:t xml:space="preserve"> reikšmės</w:t>
            </w:r>
          </w:p>
        </w:tc>
      </w:tr>
    </w:tbl>
    <w:p w14:paraId="44227E29" w14:textId="138058C9" w:rsidR="00854253" w:rsidRPr="004B229B" w:rsidRDefault="00854253" w:rsidP="0018209F">
      <w:pPr>
        <w:jc w:val="both"/>
        <w:rPr>
          <w:i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6"/>
      </w:tblGrid>
      <w:tr w:rsidR="00597143" w:rsidRPr="004B229B" w14:paraId="3F6DB06A" w14:textId="77777777" w:rsidTr="00561B47">
        <w:trPr>
          <w:trHeight w:val="298"/>
        </w:trPr>
        <w:tc>
          <w:tcPr>
            <w:tcW w:w="15416" w:type="dxa"/>
          </w:tcPr>
          <w:p w14:paraId="0DE904E6" w14:textId="326DA341" w:rsidR="00597143" w:rsidRPr="00132DEC" w:rsidRDefault="00057B78" w:rsidP="00113B3B">
            <w:pPr>
              <w:jc w:val="both"/>
              <w:rPr>
                <w:b/>
                <w:bCs/>
                <w:szCs w:val="24"/>
              </w:rPr>
            </w:pPr>
            <w:r w:rsidRPr="00132DEC">
              <w:rPr>
                <w:b/>
                <w:bCs/>
                <w:szCs w:val="24"/>
              </w:rPr>
              <w:t>3. Lietuvos Respublikos švietimo, mokslo ir sporto ministerijos (toliau – Ministerija) stebėsenos rodiklių aprašymo kortelės</w:t>
            </w:r>
          </w:p>
        </w:tc>
      </w:tr>
      <w:tr w:rsidR="00597143" w:rsidRPr="004B229B" w14:paraId="501748CA" w14:textId="77777777" w:rsidTr="00561B47">
        <w:trPr>
          <w:trHeight w:val="315"/>
        </w:trPr>
        <w:tc>
          <w:tcPr>
            <w:tcW w:w="15416" w:type="dxa"/>
          </w:tcPr>
          <w:p w14:paraId="6E15A992" w14:textId="46314898" w:rsidR="00913E34" w:rsidRPr="004B229B" w:rsidRDefault="00913E34" w:rsidP="00597143">
            <w:pPr>
              <w:jc w:val="both"/>
              <w:rPr>
                <w:iCs/>
                <w:szCs w:val="24"/>
              </w:rPr>
            </w:pPr>
            <w:r w:rsidRPr="00913E34">
              <w:rPr>
                <w:iCs/>
                <w:szCs w:val="24"/>
              </w:rPr>
              <w:t>3.1. Ministerijos stebėsenos rodiklių aprašymo kortelės pateiktos šiuo Lietuvos Respublikos švietimo, mokslo ir sporto ministro įsakymu patvirtinto 2021–2030 m. plėtros programos valdytojos Lietuvos Respublikos švietimo, mokslo ir sporto ministerijos švietimo plėtros programos pažangos priemonės    Nr. 12-003-03-04-03 „Sukurti rinkos poreikius atliepiančią profesinio ugdymo sistemą“ aprašo 9 priede.</w:t>
            </w:r>
          </w:p>
        </w:tc>
      </w:tr>
    </w:tbl>
    <w:p w14:paraId="40C1A3CA" w14:textId="77777777" w:rsidR="00A23AF5" w:rsidRPr="00A23AF5" w:rsidRDefault="00A23AF5" w:rsidP="00A23AF5">
      <w:pPr>
        <w:jc w:val="both"/>
        <w:rPr>
          <w:iCs/>
          <w:szCs w:val="24"/>
        </w:rPr>
      </w:pPr>
    </w:p>
    <w:p w14:paraId="5FB54FED" w14:textId="77777777" w:rsidR="00A23AF5" w:rsidRPr="00A23AF5" w:rsidRDefault="00A23AF5" w:rsidP="00A23AF5">
      <w:pPr>
        <w:jc w:val="center"/>
        <w:rPr>
          <w:b/>
          <w:bCs/>
          <w:iCs/>
          <w:szCs w:val="24"/>
        </w:rPr>
      </w:pPr>
      <w:r w:rsidRPr="00A23AF5">
        <w:rPr>
          <w:b/>
          <w:bCs/>
          <w:iCs/>
          <w:szCs w:val="24"/>
        </w:rPr>
        <w:t>II SKYRIUS</w:t>
      </w:r>
    </w:p>
    <w:p w14:paraId="2E6FC689" w14:textId="49C8253E" w:rsidR="00A23AF5" w:rsidRPr="00A23AF5" w:rsidRDefault="00A23AF5" w:rsidP="00A23AF5">
      <w:pPr>
        <w:jc w:val="center"/>
        <w:rPr>
          <w:b/>
          <w:bCs/>
          <w:iCs/>
          <w:szCs w:val="24"/>
        </w:rPr>
      </w:pPr>
      <w:r w:rsidRPr="00A23AF5">
        <w:rPr>
          <w:b/>
          <w:bCs/>
          <w:iCs/>
          <w:szCs w:val="24"/>
        </w:rPr>
        <w:t>SPECIALIEJI FINANSAVIMO REIKALAVIMAI</w:t>
      </w:r>
    </w:p>
    <w:p w14:paraId="664C5B65" w14:textId="77777777" w:rsidR="00A23AF5" w:rsidRPr="004B229B" w:rsidRDefault="00A23AF5">
      <w:pPr>
        <w:jc w:val="both"/>
        <w:rPr>
          <w:i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2"/>
      </w:tblGrid>
      <w:tr w:rsidR="00854253" w:rsidRPr="004B229B" w14:paraId="417C6859" w14:textId="77777777" w:rsidTr="00561B47">
        <w:tc>
          <w:tcPr>
            <w:tcW w:w="15452" w:type="dxa"/>
          </w:tcPr>
          <w:p w14:paraId="4B817BEF" w14:textId="6FEE25F7" w:rsidR="00854253" w:rsidRPr="004B229B" w:rsidRDefault="00996F21">
            <w:pPr>
              <w:rPr>
                <w:b/>
                <w:bCs/>
                <w:szCs w:val="24"/>
              </w:rPr>
            </w:pPr>
            <w:r>
              <w:rPr>
                <w:b/>
                <w:bCs/>
                <w:szCs w:val="24"/>
              </w:rPr>
              <w:t>4.</w:t>
            </w:r>
            <w:r w:rsidR="0018209F" w:rsidRPr="004B229B">
              <w:rPr>
                <w:b/>
                <w:bCs/>
                <w:szCs w:val="24"/>
              </w:rPr>
              <w:t xml:space="preserve"> Taikomi teisės aktai</w:t>
            </w:r>
            <w:r w:rsidRPr="005F6F0B">
              <w:rPr>
                <w:b/>
                <w:bCs/>
                <w:szCs w:val="24"/>
              </w:rPr>
              <w:t xml:space="preserve"> ir, jei taikoma, Apraše vartojamos sąvokos</w:t>
            </w:r>
          </w:p>
        </w:tc>
      </w:tr>
      <w:tr w:rsidR="00854253" w:rsidRPr="004B229B" w14:paraId="46E6E433" w14:textId="77777777" w:rsidTr="00561B47">
        <w:tc>
          <w:tcPr>
            <w:tcW w:w="15452" w:type="dxa"/>
          </w:tcPr>
          <w:p w14:paraId="6B48BD75" w14:textId="60A4F639" w:rsidR="00996F21" w:rsidRPr="00EB65F2" w:rsidRDefault="001E635B" w:rsidP="00996F21">
            <w:pPr>
              <w:tabs>
                <w:tab w:val="left" w:pos="22"/>
                <w:tab w:val="left" w:pos="465"/>
              </w:tabs>
              <w:ind w:left="22"/>
              <w:jc w:val="both"/>
              <w:rPr>
                <w:iCs/>
                <w:szCs w:val="24"/>
              </w:rPr>
            </w:pPr>
            <w:r>
              <w:rPr>
                <w:iCs/>
                <w:szCs w:val="24"/>
              </w:rPr>
              <w:t>4.1.</w:t>
            </w:r>
            <w:r w:rsidR="00996F21">
              <w:rPr>
                <w:iCs/>
                <w:szCs w:val="24"/>
              </w:rPr>
              <w:t xml:space="preserve"> </w:t>
            </w:r>
            <w:r w:rsidR="000B2EEC" w:rsidRPr="000B2EEC">
              <w:rPr>
                <w:iCs/>
                <w:szCs w:val="24"/>
              </w:rPr>
              <w:t xml:space="preserve">2021–2030 m. plėtros programos valdytojos Lietuvos Respublikos švietimo, mokslo ir sporto ministerijos švietimo plėtros programos pažangos priemonės Nr. 12-003-03-04-03 „Sukurti rinkos poreikius atliepiančią profesinio ugdymo sistemą“ projektų finansavimo sąlygų aprašas Nr. </w:t>
            </w:r>
            <w:r w:rsidR="000B2EEC">
              <w:rPr>
                <w:iCs/>
                <w:szCs w:val="24"/>
              </w:rPr>
              <w:t>1</w:t>
            </w:r>
            <w:r w:rsidR="000B2EEC" w:rsidRPr="000B2EEC">
              <w:rPr>
                <w:iCs/>
                <w:szCs w:val="24"/>
              </w:rPr>
              <w:t xml:space="preserve"> (toliau – Aprašas Nr. </w:t>
            </w:r>
            <w:r w:rsidR="000B2EEC">
              <w:rPr>
                <w:iCs/>
                <w:szCs w:val="24"/>
              </w:rPr>
              <w:t>1</w:t>
            </w:r>
            <w:r w:rsidR="000B2EEC" w:rsidRPr="000B2EEC">
              <w:rPr>
                <w:iCs/>
                <w:szCs w:val="24"/>
              </w:rPr>
              <w:t>) parengtas atsižvelgiant į:</w:t>
            </w:r>
          </w:p>
          <w:p w14:paraId="60991FB9" w14:textId="64CA3483" w:rsidR="00996F21" w:rsidRDefault="00832003" w:rsidP="00996F21">
            <w:pPr>
              <w:ind w:left="360" w:hanging="360"/>
              <w:jc w:val="both"/>
              <w:rPr>
                <w:szCs w:val="24"/>
              </w:rPr>
            </w:pPr>
            <w:r>
              <w:rPr>
                <w:szCs w:val="24"/>
              </w:rPr>
              <w:t>4.</w:t>
            </w:r>
            <w:r w:rsidRPr="005F6F0B">
              <w:rPr>
                <w:szCs w:val="24"/>
              </w:rPr>
              <w:t xml:space="preserve">1.1. </w:t>
            </w:r>
            <w:r w:rsidR="00996F21" w:rsidRPr="005F6F0B">
              <w:rPr>
                <w:szCs w:val="24"/>
              </w:rPr>
              <w:t>Bendruosius teisės aktus:</w:t>
            </w:r>
          </w:p>
          <w:p w14:paraId="6C489F94" w14:textId="02ED8720" w:rsidR="00FA624A" w:rsidRDefault="00832003" w:rsidP="00B17B05">
            <w:pPr>
              <w:tabs>
                <w:tab w:val="left" w:pos="22"/>
                <w:tab w:val="left" w:pos="465"/>
                <w:tab w:val="left" w:pos="660"/>
              </w:tabs>
              <w:jc w:val="both"/>
              <w:rPr>
                <w:szCs w:val="24"/>
              </w:rPr>
            </w:pPr>
            <w:r w:rsidRPr="00253707">
              <w:rPr>
                <w:szCs w:val="24"/>
              </w:rPr>
              <w:t xml:space="preserve">4.1.1.1. </w:t>
            </w:r>
            <w:r w:rsidR="0032051C" w:rsidRPr="0032051C">
              <w:rPr>
                <w:szCs w:val="24"/>
              </w:rPr>
              <w:t>2021 m. vasario 12 d. Europos Parlamento ir Tarybos reglamentą (ES) Nr. 2021/241,  kuriuo nustatoma ekonomikos gaivinimo ir atsparumo didinimo priemonė</w:t>
            </w:r>
            <w:r w:rsidR="000B73A3">
              <w:rPr>
                <w:szCs w:val="24"/>
              </w:rPr>
              <w:t xml:space="preserve"> </w:t>
            </w:r>
            <w:r w:rsidR="000B73A3" w:rsidRPr="008D3C4D">
              <w:rPr>
                <w:szCs w:val="24"/>
              </w:rPr>
              <w:t>su paskutiniais pakeitimais, padarytais 2024 m. vasario 29 d. Europos Parlamento ir Tarybos reglamentu (ES) 2024/795;</w:t>
            </w:r>
          </w:p>
          <w:p w14:paraId="582FCD88" w14:textId="0191E32C" w:rsidR="00EC1D4B" w:rsidRPr="00253707" w:rsidRDefault="00832003" w:rsidP="00E2433F">
            <w:pPr>
              <w:tabs>
                <w:tab w:val="left" w:pos="22"/>
                <w:tab w:val="left" w:pos="465"/>
                <w:tab w:val="left" w:pos="660"/>
              </w:tabs>
              <w:jc w:val="both"/>
              <w:rPr>
                <w:iCs/>
                <w:szCs w:val="24"/>
              </w:rPr>
            </w:pPr>
            <w:r w:rsidRPr="00253707">
              <w:rPr>
                <w:szCs w:val="24"/>
              </w:rPr>
              <w:t>4.1.1.</w:t>
            </w:r>
            <w:r>
              <w:rPr>
                <w:szCs w:val="24"/>
              </w:rPr>
              <w:t>2</w:t>
            </w:r>
            <w:r w:rsidRPr="00253707">
              <w:rPr>
                <w:szCs w:val="24"/>
              </w:rPr>
              <w:t>.</w:t>
            </w:r>
            <w:r w:rsidR="000A53F2">
              <w:rPr>
                <w:szCs w:val="24"/>
              </w:rPr>
              <w:t xml:space="preserve"> </w:t>
            </w:r>
            <w:r w:rsidR="00B078F8" w:rsidRPr="00057F6E">
              <w:rPr>
                <w:iCs/>
                <w:szCs w:val="24"/>
              </w:rPr>
              <w:t xml:space="preserve">Ekonomikos gaivinimo ir atsparumo didinimo planą „Naujos kartos Lietuva“, patvirtintą </w:t>
            </w:r>
            <w:r w:rsidR="0077362B" w:rsidRPr="0077362B">
              <w:rPr>
                <w:iCs/>
                <w:szCs w:val="24"/>
              </w:rPr>
              <w:t xml:space="preserve">2021 m. liepos 28 d. Tarybos įgyvendinimo </w:t>
            </w:r>
            <w:r w:rsidR="00057F6E" w:rsidRPr="008D3C4D">
              <w:t xml:space="preserve"> </w:t>
            </w:r>
            <w:r w:rsidR="00057F6E" w:rsidRPr="008D3C4D">
              <w:rPr>
                <w:iCs/>
                <w:szCs w:val="24"/>
              </w:rPr>
              <w:t>sprendimu dėl Lietuvos ekonomikos gaivinimo ir atsparumo didinimo plano įvertinimo patvirtinimo su paskutiniais pakeitimais, padarytais 2025 m. birželio 20 d. Tarybos įgyvendinimo sprendimu;</w:t>
            </w:r>
          </w:p>
          <w:p w14:paraId="2C96A40C" w14:textId="41529DF4" w:rsidR="00C629CE" w:rsidRPr="00802918" w:rsidRDefault="00832003" w:rsidP="00657857">
            <w:pPr>
              <w:jc w:val="both"/>
              <w:textAlignment w:val="baseline"/>
              <w:rPr>
                <w:szCs w:val="24"/>
                <w:lang w:eastAsia="lt-LT"/>
              </w:rPr>
            </w:pPr>
            <w:r w:rsidRPr="006D5CB7">
              <w:rPr>
                <w:szCs w:val="24"/>
              </w:rPr>
              <w:t>4.1.1.3.</w:t>
            </w:r>
            <w:r w:rsidR="00A74AB3" w:rsidRPr="00A74AB3" w:rsidDel="00A74AB3">
              <w:rPr>
                <w:szCs w:val="24"/>
                <w:lang w:eastAsia="lt-LT"/>
              </w:rPr>
              <w:t xml:space="preserve"> </w:t>
            </w:r>
            <w:r w:rsidR="00C629CE" w:rsidRPr="00657857">
              <w:rPr>
                <w:szCs w:val="24"/>
                <w:lang w:eastAsia="lt-LT"/>
              </w:rPr>
              <w:t xml:space="preserve">Projektų administravimo ir finansavimo taisykles (toliau – Projektų taisyklės) ir </w:t>
            </w:r>
            <w:r w:rsidR="00C629CE" w:rsidRPr="00657857">
              <w:rPr>
                <w:color w:val="000000"/>
                <w:szCs w:val="24"/>
                <w:lang w:eastAsia="lt-LT"/>
              </w:rPr>
              <w:t>2021–2027 metų Europos Sąjungos fondų investicijų programos ir Ekonomikos gaivinimo ir atsparumo didinimo plano „Naujos kartos Lietuva“ administravimo taisykles (toliau – Taisyklės)</w:t>
            </w:r>
            <w:r w:rsidR="00C629CE" w:rsidRPr="00657857">
              <w:rPr>
                <w:szCs w:val="24"/>
                <w:lang w:eastAsia="lt-LT"/>
              </w:rPr>
              <w:t>, patvirtintas Lietuvos Respublikos finansų ministro 2022 m. birželio 22 d. įsakymu Nr. 1K-237 „</w:t>
            </w:r>
            <w:r w:rsidR="00C629CE" w:rsidRPr="00657857">
              <w:rPr>
                <w:color w:val="000000"/>
                <w:szCs w:val="24"/>
                <w:lang w:eastAsia="lt-LT"/>
              </w:rPr>
              <w:t>Dėl 2021–2027 metų Europos Sąjungos fondų investicijų programos ir Ekonomikos gaivinimo ir atsparumo didinimo plano „Naujos kartos Lietuva“ įgyvendinimo</w:t>
            </w:r>
            <w:r w:rsidR="00C629CE" w:rsidRPr="00657857">
              <w:rPr>
                <w:caps/>
                <w:color w:val="000000"/>
                <w:szCs w:val="24"/>
                <w:lang w:eastAsia="lt-LT"/>
              </w:rPr>
              <w:t>“;</w:t>
            </w:r>
          </w:p>
          <w:p w14:paraId="6ED9784B" w14:textId="54C4C59B" w:rsidR="003C20AA" w:rsidRPr="00496DD4" w:rsidRDefault="00B31F17" w:rsidP="003C20AA">
            <w:pPr>
              <w:ind w:left="-44"/>
              <w:jc w:val="both"/>
              <w:rPr>
                <w:szCs w:val="24"/>
              </w:rPr>
            </w:pPr>
            <w:r>
              <w:rPr>
                <w:szCs w:val="24"/>
              </w:rPr>
              <w:lastRenderedPageBreak/>
              <w:t xml:space="preserve">4.1.1.4. </w:t>
            </w:r>
            <w:r w:rsidR="00B76058" w:rsidRPr="00B76058">
              <w:rPr>
                <w:szCs w:val="24"/>
              </w:rPr>
              <w:t xml:space="preserve">Strateginio valdymo metodiką, patvirtintą Lietuvos Respublikos Vyriausybės 2021 m. balandžio 28 d. nutarimu Nr. 292 </w:t>
            </w:r>
            <w:r w:rsidR="00C8746B" w:rsidRPr="00496DD4">
              <w:rPr>
                <w:szCs w:val="24"/>
              </w:rPr>
              <w:t>„Dėl Strateginio valdymo metodikos patvirtinimo“</w:t>
            </w:r>
            <w:r w:rsidR="00B76058" w:rsidRPr="00496DD4">
              <w:rPr>
                <w:szCs w:val="24"/>
              </w:rPr>
              <w:t>;</w:t>
            </w:r>
          </w:p>
          <w:p w14:paraId="6307081E" w14:textId="14E7F5FF" w:rsidR="00854253" w:rsidRPr="003C20AA" w:rsidRDefault="00B31F17" w:rsidP="003C20AA">
            <w:pPr>
              <w:ind w:left="-44"/>
              <w:jc w:val="both"/>
              <w:rPr>
                <w:iCs/>
                <w:szCs w:val="24"/>
              </w:rPr>
            </w:pPr>
            <w:r>
              <w:rPr>
                <w:szCs w:val="24"/>
              </w:rPr>
              <w:t xml:space="preserve">4.1.1.5. </w:t>
            </w:r>
            <w:r w:rsidR="00BF3D6A" w:rsidRPr="003A33CA">
              <w:rPr>
                <w:szCs w:val="24"/>
              </w:rPr>
              <w:t>2021–2030 metų Nacionalinį pažangos planą, patvirtintą Lietuvos Respublikos Vyriausybės 2020 m. rugsėjo 9 d. nutarimu Nr. 998 „Dėl 2021–2030 metų Nacionalinio pažangos plano patvirtinimo“;</w:t>
            </w:r>
          </w:p>
          <w:p w14:paraId="55030A31" w14:textId="1BDDB51C" w:rsidR="003C20AA" w:rsidRDefault="003C20AA" w:rsidP="003C20AA">
            <w:pPr>
              <w:ind w:left="-44"/>
              <w:jc w:val="both"/>
              <w:rPr>
                <w:szCs w:val="24"/>
              </w:rPr>
            </w:pPr>
            <w:r>
              <w:rPr>
                <w:szCs w:val="24"/>
              </w:rPr>
              <w:t>4.1.1.</w:t>
            </w:r>
            <w:r w:rsidR="00BC3657">
              <w:rPr>
                <w:szCs w:val="24"/>
              </w:rPr>
              <w:t>6</w:t>
            </w:r>
            <w:r>
              <w:rPr>
                <w:szCs w:val="24"/>
              </w:rPr>
              <w:t>.</w:t>
            </w:r>
            <w:r w:rsidR="008F5BBF" w:rsidRPr="00F21FC9">
              <w:rPr>
                <w:iCs/>
                <w:szCs w:val="24"/>
              </w:rPr>
              <w:t xml:space="preserve"> 2021–2030 m. plėtros programos valdytojos Lietuvos Respublikos švietimo, mokslo ir sporto ministerijos švietimo plėtros programą, patvirtintą Lietuvos Respublikos Vyriausybės 2021 m. gruodžio 1 d. nutarimu Nr. 1016 „Dėl 2021–2030 m. plėtros programos valdytojos Lietuvos Respublikos švietimo, mokslo ir sporto ministerijos švietimo plėtros programos patvirtinimo“;</w:t>
            </w:r>
          </w:p>
          <w:p w14:paraId="2ECDE8B9" w14:textId="1689E359" w:rsidR="0071773D" w:rsidRDefault="003C20AA" w:rsidP="008F5BBF">
            <w:pPr>
              <w:ind w:left="-44"/>
              <w:jc w:val="both"/>
              <w:rPr>
                <w:iCs/>
                <w:szCs w:val="24"/>
              </w:rPr>
            </w:pPr>
            <w:r>
              <w:rPr>
                <w:iCs/>
                <w:szCs w:val="24"/>
              </w:rPr>
              <w:t>4.</w:t>
            </w:r>
            <w:r w:rsidRPr="00EB65F2">
              <w:rPr>
                <w:iCs/>
                <w:szCs w:val="24"/>
              </w:rPr>
              <w:t>1.1.</w:t>
            </w:r>
            <w:r w:rsidR="008F5BBF">
              <w:rPr>
                <w:iCs/>
                <w:szCs w:val="24"/>
              </w:rPr>
              <w:t>7</w:t>
            </w:r>
            <w:r w:rsidRPr="00EB65F2">
              <w:rPr>
                <w:iCs/>
                <w:szCs w:val="24"/>
              </w:rPr>
              <w:t xml:space="preserve">. </w:t>
            </w:r>
            <w:r w:rsidR="008F5BBF" w:rsidRPr="00F21FC9">
              <w:rPr>
                <w:iCs/>
                <w:szCs w:val="24"/>
              </w:rPr>
              <w:t>2021–2030 m. plėtros programos valdytojos Lietuvos Respublikos švietimo, mokslo ir sporto ministerijos švietimo plėtros programos pažangos priemonę Nr. 12-003-03-04-03 „Sukurti rinkos poreikius atliepiančią profesinio ugdymo sistemą“, patvirtintą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1354044B" w14:textId="2C783AE2" w:rsidR="003C5934" w:rsidRDefault="003C5934" w:rsidP="003C5934">
            <w:pPr>
              <w:jc w:val="both"/>
              <w:rPr>
                <w:iCs/>
                <w:szCs w:val="24"/>
              </w:rPr>
            </w:pPr>
            <w:r>
              <w:rPr>
                <w:iCs/>
                <w:szCs w:val="24"/>
              </w:rPr>
              <w:t>4.</w:t>
            </w:r>
            <w:r w:rsidRPr="0008061E">
              <w:rPr>
                <w:iCs/>
                <w:szCs w:val="24"/>
              </w:rPr>
              <w:t>1.2.</w:t>
            </w:r>
            <w:r w:rsidR="003F5906">
              <w:rPr>
                <w:iCs/>
                <w:szCs w:val="24"/>
              </w:rPr>
              <w:t xml:space="preserve"> </w:t>
            </w:r>
            <w:r w:rsidRPr="0008061E">
              <w:rPr>
                <w:iCs/>
                <w:szCs w:val="24"/>
              </w:rPr>
              <w:t>Specialiuosius teisės aktus:</w:t>
            </w:r>
          </w:p>
          <w:p w14:paraId="0081A8D1" w14:textId="1B77AFCB" w:rsidR="00E075FD" w:rsidRDefault="003C5934" w:rsidP="003C5934">
            <w:pPr>
              <w:jc w:val="both"/>
              <w:rPr>
                <w:iCs/>
                <w:szCs w:val="24"/>
              </w:rPr>
            </w:pPr>
            <w:r>
              <w:rPr>
                <w:iCs/>
                <w:szCs w:val="24"/>
              </w:rPr>
              <w:t>4.1.2.1.</w:t>
            </w:r>
            <w:r w:rsidR="00E075FD">
              <w:rPr>
                <w:iCs/>
                <w:szCs w:val="24"/>
              </w:rPr>
              <w:t xml:space="preserve"> </w:t>
            </w:r>
            <w:r w:rsidR="00F240FC" w:rsidRPr="00F240FC">
              <w:rPr>
                <w:iCs/>
                <w:szCs w:val="24"/>
              </w:rPr>
              <w:t>Profesinio mokymo organizavimo pameistrystės forma tvarkos aprašą, patvirtintą Lietuvos Respublikos Vyriausybės 2019 m. spalio 23 d. nutarimu Nr. 1065 „Dėl Profesinio mokymo organizavimo pameistrystės forma tvarkos aprašo patvirtinimo“ (toliau – Profesinio mokymo organizavimo pameistrystės forma tvarkos aprašas);</w:t>
            </w:r>
          </w:p>
          <w:p w14:paraId="27F2A29F" w14:textId="77777777" w:rsidR="00081BB8" w:rsidRDefault="00EC3020" w:rsidP="003C5934">
            <w:pPr>
              <w:jc w:val="both"/>
              <w:rPr>
                <w:iCs/>
                <w:szCs w:val="24"/>
              </w:rPr>
            </w:pPr>
            <w:r>
              <w:rPr>
                <w:iCs/>
                <w:szCs w:val="24"/>
              </w:rPr>
              <w:t>4.1.2.2.</w:t>
            </w:r>
            <w:r w:rsidR="00104214" w:rsidRPr="00104214">
              <w:rPr>
                <w:iCs/>
                <w:szCs w:val="24"/>
              </w:rPr>
              <w:t xml:space="preserve"> Lietuvos Respublikos švietimo įstatymą; </w:t>
            </w:r>
          </w:p>
          <w:p w14:paraId="5A461DE6" w14:textId="19D1FD64" w:rsidR="003C5934" w:rsidRPr="00657857" w:rsidRDefault="003C5934" w:rsidP="003C5934">
            <w:pPr>
              <w:jc w:val="both"/>
              <w:rPr>
                <w:iCs/>
                <w:szCs w:val="24"/>
              </w:rPr>
            </w:pPr>
            <w:r>
              <w:rPr>
                <w:color w:val="000000"/>
              </w:rPr>
              <w:t>4.1.2.</w:t>
            </w:r>
            <w:r w:rsidR="00EC3020">
              <w:rPr>
                <w:color w:val="000000"/>
              </w:rPr>
              <w:t>3</w:t>
            </w:r>
            <w:r>
              <w:rPr>
                <w:color w:val="000000"/>
              </w:rPr>
              <w:t xml:space="preserve">. </w:t>
            </w:r>
            <w:r w:rsidR="00104214" w:rsidRPr="00104214">
              <w:rPr>
                <w:iCs/>
                <w:szCs w:val="24"/>
              </w:rPr>
              <w:t xml:space="preserve">Lietuvos Respublikos profesinio mokymo įstatymą;  </w:t>
            </w:r>
          </w:p>
          <w:p w14:paraId="27F03F40" w14:textId="43D8CC4B" w:rsidR="0078667E" w:rsidRPr="00657857" w:rsidRDefault="0078667E" w:rsidP="00657857">
            <w:pPr>
              <w:jc w:val="both"/>
              <w:rPr>
                <w:iCs/>
                <w:szCs w:val="24"/>
              </w:rPr>
            </w:pPr>
            <w:r>
              <w:rPr>
                <w:rFonts w:eastAsia="Calibri"/>
              </w:rPr>
              <w:t>4.1.2.</w:t>
            </w:r>
            <w:r w:rsidR="00081BB8">
              <w:rPr>
                <w:rFonts w:eastAsia="Calibri"/>
              </w:rPr>
              <w:t>4</w:t>
            </w:r>
            <w:r>
              <w:rPr>
                <w:rFonts w:eastAsia="Calibri"/>
              </w:rPr>
              <w:t xml:space="preserve">. </w:t>
            </w:r>
            <w:r w:rsidR="00931C88" w:rsidRPr="00104214">
              <w:rPr>
                <w:iCs/>
                <w:szCs w:val="24"/>
              </w:rPr>
              <w:t xml:space="preserve">Lietuvos Respublikos darbo kodekso patvirtinimo, įsigaliojimo ir įgyvendinimo įstatymą; </w:t>
            </w:r>
          </w:p>
          <w:p w14:paraId="7DF022F8" w14:textId="0DEC2638" w:rsidR="00931C88" w:rsidRDefault="0078667E" w:rsidP="00931C88">
            <w:pPr>
              <w:jc w:val="both"/>
              <w:rPr>
                <w:color w:val="000000"/>
              </w:rPr>
            </w:pPr>
            <w:r>
              <w:rPr>
                <w:color w:val="000000"/>
                <w:lang w:eastAsia="lt-LT"/>
              </w:rPr>
              <w:t>4.1</w:t>
            </w:r>
            <w:r w:rsidR="00D01162">
              <w:rPr>
                <w:color w:val="000000"/>
                <w:lang w:eastAsia="lt-LT"/>
              </w:rPr>
              <w:t>.2.</w:t>
            </w:r>
            <w:r w:rsidR="00081BB8">
              <w:rPr>
                <w:color w:val="000000"/>
                <w:lang w:eastAsia="lt-LT"/>
              </w:rPr>
              <w:t>5</w:t>
            </w:r>
            <w:r w:rsidR="00D01162">
              <w:rPr>
                <w:color w:val="000000"/>
                <w:lang w:eastAsia="lt-LT"/>
              </w:rPr>
              <w:t xml:space="preserve">. </w:t>
            </w:r>
            <w:r w:rsidR="00931C88" w:rsidRPr="00104214">
              <w:rPr>
                <w:iCs/>
                <w:szCs w:val="24"/>
              </w:rPr>
              <w:t xml:space="preserve">Formaliojo profesinio mokymo tvarkos aprašą, patvirtintą Lietuvos Respublikos švietimo ir mokslo ministro 2012 m. kovo 15 d. įsakymu Nr. V-482 „Dėl Formaliojo profesinio mokymo tvarkos aprašo patvirtinimo“;  </w:t>
            </w:r>
          </w:p>
          <w:p w14:paraId="2FBCE2A4" w14:textId="3728C528" w:rsidR="00D30B1A" w:rsidRPr="00D30B1A" w:rsidRDefault="0055101F" w:rsidP="00D30B1A">
            <w:pPr>
              <w:jc w:val="both"/>
              <w:rPr>
                <w:rFonts w:eastAsia="Calibri"/>
              </w:rPr>
            </w:pPr>
            <w:r w:rsidRPr="00657857">
              <w:rPr>
                <w:rFonts w:eastAsia="Calibri"/>
              </w:rPr>
              <w:t>4.1.2.</w:t>
            </w:r>
            <w:r w:rsidR="00784D1D">
              <w:rPr>
                <w:rFonts w:eastAsia="Calibri"/>
              </w:rPr>
              <w:t>6</w:t>
            </w:r>
            <w:r w:rsidRPr="00657857">
              <w:rPr>
                <w:rFonts w:eastAsia="Calibri"/>
              </w:rPr>
              <w:t xml:space="preserve">. </w:t>
            </w:r>
            <w:r w:rsidR="00D30B1A" w:rsidRPr="00D30B1A">
              <w:rPr>
                <w:rFonts w:eastAsia="Calibri"/>
              </w:rPr>
              <w:t xml:space="preserve">Asmenų, pageidaujančių mokytis pagal pirminio arba tęstinio profesinio mokymo programas, bendrojo priėmimo į valstybinę ar savivaldybės arba nevalstybinę profesinio mokymo įstaigą tvarkos aprašą, patvirtintą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 </w:t>
            </w:r>
          </w:p>
          <w:p w14:paraId="7C4F8C49" w14:textId="1D9A342A" w:rsidR="00D30B1A" w:rsidRPr="00D30B1A" w:rsidRDefault="005E0F5B" w:rsidP="00D30B1A">
            <w:pPr>
              <w:jc w:val="both"/>
              <w:rPr>
                <w:rFonts w:eastAsia="Calibri"/>
              </w:rPr>
            </w:pPr>
            <w:r w:rsidRPr="005E0F5B">
              <w:rPr>
                <w:rFonts w:eastAsia="Calibri"/>
              </w:rPr>
              <w:t>4.1.2.</w:t>
            </w:r>
            <w:r w:rsidR="00784D1D">
              <w:rPr>
                <w:rFonts w:eastAsia="Calibri"/>
              </w:rPr>
              <w:t>7</w:t>
            </w:r>
            <w:r w:rsidRPr="005E0F5B">
              <w:rPr>
                <w:rFonts w:eastAsia="Calibri"/>
              </w:rPr>
              <w:t xml:space="preserve">. </w:t>
            </w:r>
            <w:r w:rsidR="00D30B1A" w:rsidRPr="00D30B1A">
              <w:rPr>
                <w:rFonts w:eastAsia="Calibri"/>
              </w:rPr>
              <w:t xml:space="preserve">Lietuvos Respublikos smulkiojo ir vidutinio verslo plėtros įstatymą (toliau – SVV įstatymas); </w:t>
            </w:r>
          </w:p>
          <w:p w14:paraId="12C5BD24" w14:textId="276A9EC1" w:rsidR="00D30B1A" w:rsidRPr="00D30B1A" w:rsidRDefault="005E0F5B" w:rsidP="00D30B1A">
            <w:pPr>
              <w:jc w:val="both"/>
              <w:rPr>
                <w:rFonts w:eastAsia="Calibri"/>
              </w:rPr>
            </w:pPr>
            <w:r w:rsidRPr="005E0F5B">
              <w:rPr>
                <w:rFonts w:eastAsia="Calibri"/>
              </w:rPr>
              <w:t>4.1.2.</w:t>
            </w:r>
            <w:r w:rsidR="00784D1D">
              <w:rPr>
                <w:rFonts w:eastAsia="Calibri"/>
              </w:rPr>
              <w:t>8</w:t>
            </w:r>
            <w:r w:rsidRPr="005E0F5B">
              <w:rPr>
                <w:rFonts w:eastAsia="Calibri"/>
              </w:rPr>
              <w:t xml:space="preserve">. </w:t>
            </w:r>
            <w:r w:rsidR="00D30B1A" w:rsidRPr="00D30B1A">
              <w:rPr>
                <w:rFonts w:eastAsia="Calibri"/>
              </w:rPr>
              <w:t xml:space="preserve">Smulkiojo ar vidutinio verslo subjekto statuso deklaravimo tvarkos aprašą, patvirtintą Lietuvos Respublikos ūkio ministro 2008 m. kovo 26 d. įsakymu Nr. 4-119 „Dėl Smulkiojo ar vidutinio verslo subjekto statuso deklaravimo tvarkos aprašo ir Smulkiojo ar vidutinio verslo subjekto statuso deklaracijos formos patvirtinimo“; </w:t>
            </w:r>
          </w:p>
          <w:p w14:paraId="46F5C1DA" w14:textId="3274A0D0" w:rsidR="00D30B1A" w:rsidRPr="00D30B1A" w:rsidRDefault="005E0F5B" w:rsidP="00D30B1A">
            <w:pPr>
              <w:jc w:val="both"/>
              <w:rPr>
                <w:rFonts w:eastAsia="Calibri"/>
              </w:rPr>
            </w:pPr>
            <w:r w:rsidRPr="005E0F5B">
              <w:rPr>
                <w:rFonts w:eastAsia="Calibri"/>
              </w:rPr>
              <w:t>4.1.2.</w:t>
            </w:r>
            <w:r w:rsidR="00784D1D">
              <w:rPr>
                <w:rFonts w:eastAsia="Calibri"/>
              </w:rPr>
              <w:t>9</w:t>
            </w:r>
            <w:r w:rsidRPr="005E0F5B">
              <w:rPr>
                <w:rFonts w:eastAsia="Calibri"/>
              </w:rPr>
              <w:t xml:space="preserve">. </w:t>
            </w:r>
            <w:r w:rsidR="00801130">
              <w:rPr>
                <w:rFonts w:eastAsia="Calibri"/>
              </w:rPr>
              <w:t>S</w:t>
            </w:r>
            <w:r w:rsidR="00D30B1A" w:rsidRPr="00D30B1A">
              <w:rPr>
                <w:rFonts w:eastAsia="Calibri"/>
              </w:rPr>
              <w:t xml:space="preserve">mulkiojo ar vidutinio verslo subjekto vidutinio metinio darbuotojų skaičiaus nustatymo tvarkos aprašą, patvirtintą Lietuvos Respublikos ūkio ministro 2008 m. kovo 31 d.  įsakymu Nr. 4-126 „Dėl Smulkiojo ir vidutinio verslo subjektų vidutinio metų sąrašinio darbuotojų skaičiaus apskaičiavimo tvarkos aprašo patvirtinimo“; </w:t>
            </w:r>
          </w:p>
          <w:p w14:paraId="1E3F3C8B" w14:textId="2BD34ABA" w:rsidR="00EC3020" w:rsidRPr="00253707" w:rsidRDefault="00691180" w:rsidP="00D30B1A">
            <w:pPr>
              <w:jc w:val="both"/>
              <w:rPr>
                <w:rFonts w:eastAsia="Calibri"/>
              </w:rPr>
            </w:pPr>
            <w:r w:rsidRPr="005E0F5B">
              <w:rPr>
                <w:rFonts w:eastAsia="Calibri"/>
              </w:rPr>
              <w:lastRenderedPageBreak/>
              <w:t>4.1.2.</w:t>
            </w:r>
            <w:r w:rsidR="00784D1D">
              <w:rPr>
                <w:rFonts w:eastAsia="Calibri"/>
              </w:rPr>
              <w:t>10</w:t>
            </w:r>
            <w:r w:rsidRPr="005E0F5B">
              <w:rPr>
                <w:rFonts w:eastAsia="Calibri"/>
              </w:rPr>
              <w:t xml:space="preserve">. </w:t>
            </w:r>
            <w:r w:rsidR="00D30B1A" w:rsidRPr="001F09C5">
              <w:rPr>
                <w:rFonts w:eastAsia="Calibri"/>
              </w:rPr>
              <w:t xml:space="preserve">2023 m. gruodžio 13 d. Komisijos reglamentą (ES) Nr. 2023/2831 dėl Sutarties dėl Europos Sąjungos veikimo 107 ir 108 straipsnių taikymo de </w:t>
            </w:r>
            <w:proofErr w:type="spellStart"/>
            <w:r w:rsidR="00D30B1A" w:rsidRPr="001F09C5">
              <w:rPr>
                <w:rFonts w:eastAsia="Calibri"/>
              </w:rPr>
              <w:t>minimis</w:t>
            </w:r>
            <w:proofErr w:type="spellEnd"/>
            <w:r w:rsidR="00D30B1A" w:rsidRPr="001F09C5">
              <w:rPr>
                <w:rFonts w:eastAsia="Calibri"/>
              </w:rPr>
              <w:t xml:space="preserve"> pagalbai (toliau – Komisijos reglamentas (ES) Nr. 2023/2831).</w:t>
            </w:r>
          </w:p>
          <w:p w14:paraId="667E818F" w14:textId="48579DAE" w:rsidR="00F54196" w:rsidRPr="00F54196" w:rsidRDefault="00DB7C67" w:rsidP="00F54196">
            <w:pPr>
              <w:tabs>
                <w:tab w:val="left" w:pos="22"/>
                <w:tab w:val="left" w:pos="465"/>
              </w:tabs>
              <w:jc w:val="both"/>
              <w:rPr>
                <w:iCs/>
                <w:szCs w:val="24"/>
              </w:rPr>
            </w:pPr>
            <w:r>
              <w:rPr>
                <w:iCs/>
                <w:szCs w:val="24"/>
              </w:rPr>
              <w:t>4.2.</w:t>
            </w:r>
            <w:r w:rsidR="00EB1A27" w:rsidRPr="00F54196" w:rsidDel="00EB1A27">
              <w:rPr>
                <w:iCs/>
                <w:szCs w:val="24"/>
              </w:rPr>
              <w:t xml:space="preserve"> </w:t>
            </w:r>
            <w:r w:rsidR="00F54196" w:rsidRPr="00F54196">
              <w:rPr>
                <w:iCs/>
                <w:szCs w:val="24"/>
              </w:rPr>
              <w:t xml:space="preserve">Apraše vartojamos sąvokos suprantamos taip, kaip jos apibrėžtos Strateginio valdymo metodikoje, Projektų taisyklių, Taisyklių,  Lietuvos Respublikos švietimo įstatyme, </w:t>
            </w:r>
            <w:r w:rsidR="00F54196" w:rsidRPr="00FF0E3B">
              <w:rPr>
                <w:iCs/>
                <w:szCs w:val="24"/>
              </w:rPr>
              <w:t>SVV</w:t>
            </w:r>
            <w:r w:rsidR="00F54196" w:rsidRPr="00F54196">
              <w:rPr>
                <w:iCs/>
                <w:szCs w:val="24"/>
              </w:rPr>
              <w:t xml:space="preserve"> įstatyme ir anksčiau paminėtuose teisės aktuose. </w:t>
            </w:r>
          </w:p>
          <w:p w14:paraId="1E3D4B3B" w14:textId="44DB7A53" w:rsidR="00F54196" w:rsidRPr="00F54196" w:rsidRDefault="00457070" w:rsidP="00F54196">
            <w:pPr>
              <w:tabs>
                <w:tab w:val="left" w:pos="22"/>
                <w:tab w:val="left" w:pos="465"/>
              </w:tabs>
              <w:jc w:val="both"/>
              <w:rPr>
                <w:iCs/>
                <w:szCs w:val="24"/>
              </w:rPr>
            </w:pPr>
            <w:r>
              <w:rPr>
                <w:iCs/>
                <w:szCs w:val="24"/>
              </w:rPr>
              <w:t>4.2</w:t>
            </w:r>
            <w:r w:rsidRPr="0008061E">
              <w:rPr>
                <w:iCs/>
                <w:szCs w:val="24"/>
              </w:rPr>
              <w:t>.</w:t>
            </w:r>
            <w:r>
              <w:rPr>
                <w:iCs/>
                <w:szCs w:val="24"/>
              </w:rPr>
              <w:t>1.</w:t>
            </w:r>
            <w:r w:rsidR="00341BD0">
              <w:rPr>
                <w:iCs/>
                <w:szCs w:val="24"/>
              </w:rPr>
              <w:t xml:space="preserve"> </w:t>
            </w:r>
            <w:r w:rsidR="00F54196" w:rsidRPr="00F54196">
              <w:rPr>
                <w:iCs/>
                <w:szCs w:val="24"/>
              </w:rPr>
              <w:t xml:space="preserve">Apraše vartojamos kitos sąvokos: </w:t>
            </w:r>
          </w:p>
          <w:p w14:paraId="307BC8B6" w14:textId="36BAAFB0" w:rsidR="00F54196" w:rsidRPr="00F54196" w:rsidRDefault="00457070" w:rsidP="00F54196">
            <w:pPr>
              <w:tabs>
                <w:tab w:val="left" w:pos="22"/>
                <w:tab w:val="left" w:pos="465"/>
              </w:tabs>
              <w:jc w:val="both"/>
              <w:rPr>
                <w:iCs/>
                <w:szCs w:val="24"/>
              </w:rPr>
            </w:pPr>
            <w:r w:rsidRPr="00EE2E19">
              <w:rPr>
                <w:iCs/>
                <w:szCs w:val="24"/>
              </w:rPr>
              <w:t>4.</w:t>
            </w:r>
            <w:r>
              <w:rPr>
                <w:iCs/>
                <w:szCs w:val="24"/>
              </w:rPr>
              <w:t>2</w:t>
            </w:r>
            <w:r w:rsidRPr="00EE2E19">
              <w:rPr>
                <w:iCs/>
                <w:szCs w:val="24"/>
              </w:rPr>
              <w:t>.</w:t>
            </w:r>
            <w:r>
              <w:rPr>
                <w:iCs/>
                <w:szCs w:val="24"/>
              </w:rPr>
              <w:t>1.1</w:t>
            </w:r>
            <w:r w:rsidR="00DB7C67" w:rsidRPr="00DB7C67">
              <w:rPr>
                <w:b/>
                <w:bCs/>
                <w:iCs/>
                <w:szCs w:val="24"/>
              </w:rPr>
              <w:t xml:space="preserve"> </w:t>
            </w:r>
            <w:r w:rsidR="00F54196" w:rsidRPr="00657857">
              <w:rPr>
                <w:b/>
                <w:bCs/>
                <w:iCs/>
                <w:szCs w:val="24"/>
              </w:rPr>
              <w:t>Skaitmeninės kompetencijos</w:t>
            </w:r>
            <w:r w:rsidR="00F54196" w:rsidRPr="00F54196">
              <w:rPr>
                <w:iCs/>
                <w:szCs w:val="24"/>
              </w:rPr>
              <w:t xml:space="preserve"> – žinios ir praktiniai įgūdžiai, aprašyti Europos skaitmeninės kompetencijos programoje (</w:t>
            </w:r>
            <w:proofErr w:type="spellStart"/>
            <w:r w:rsidR="00F54196" w:rsidRPr="00F54196">
              <w:rPr>
                <w:iCs/>
                <w:szCs w:val="24"/>
              </w:rPr>
              <w:t>The</w:t>
            </w:r>
            <w:proofErr w:type="spellEnd"/>
            <w:r w:rsidR="00F54196" w:rsidRPr="00F54196">
              <w:rPr>
                <w:iCs/>
                <w:szCs w:val="24"/>
              </w:rPr>
              <w:t xml:space="preserve"> Digital </w:t>
            </w:r>
            <w:proofErr w:type="spellStart"/>
            <w:r w:rsidR="00F54196" w:rsidRPr="00F54196">
              <w:rPr>
                <w:iCs/>
                <w:szCs w:val="24"/>
              </w:rPr>
              <w:t>Competence</w:t>
            </w:r>
            <w:proofErr w:type="spellEnd"/>
            <w:r w:rsidR="00F54196" w:rsidRPr="00F54196">
              <w:rPr>
                <w:iCs/>
                <w:szCs w:val="24"/>
              </w:rPr>
              <w:t xml:space="preserve"> </w:t>
            </w:r>
            <w:proofErr w:type="spellStart"/>
            <w:r w:rsidR="00F54196" w:rsidRPr="00F54196">
              <w:rPr>
                <w:iCs/>
                <w:szCs w:val="24"/>
              </w:rPr>
              <w:t>Framework</w:t>
            </w:r>
            <w:proofErr w:type="spellEnd"/>
            <w:r w:rsidR="00F54196" w:rsidRPr="00F54196">
              <w:rPr>
                <w:iCs/>
                <w:szCs w:val="24"/>
              </w:rPr>
              <w:t xml:space="preserve"> </w:t>
            </w:r>
            <w:proofErr w:type="spellStart"/>
            <w:r w:rsidR="00F54196" w:rsidRPr="00F54196">
              <w:rPr>
                <w:iCs/>
                <w:szCs w:val="24"/>
              </w:rPr>
              <w:t>for</w:t>
            </w:r>
            <w:proofErr w:type="spellEnd"/>
            <w:r w:rsidR="00F54196" w:rsidRPr="00F54196">
              <w:rPr>
                <w:iCs/>
                <w:szCs w:val="24"/>
              </w:rPr>
              <w:t xml:space="preserve"> </w:t>
            </w:r>
            <w:proofErr w:type="spellStart"/>
            <w:r w:rsidR="00F54196" w:rsidRPr="00F54196">
              <w:rPr>
                <w:iCs/>
                <w:szCs w:val="24"/>
              </w:rPr>
              <w:t>Citizens</w:t>
            </w:r>
            <w:proofErr w:type="spellEnd"/>
            <w:r w:rsidR="00F54196" w:rsidRPr="00F54196">
              <w:rPr>
                <w:iCs/>
                <w:szCs w:val="24"/>
              </w:rPr>
              <w:t xml:space="preserve">).  </w:t>
            </w:r>
          </w:p>
          <w:p w14:paraId="17CFC363" w14:textId="32F2B58D" w:rsidR="00F54196" w:rsidRPr="00F54196" w:rsidRDefault="00EE2E19" w:rsidP="00F54196">
            <w:pPr>
              <w:tabs>
                <w:tab w:val="left" w:pos="22"/>
                <w:tab w:val="left" w:pos="465"/>
              </w:tabs>
              <w:jc w:val="both"/>
              <w:rPr>
                <w:iCs/>
                <w:szCs w:val="24"/>
              </w:rPr>
            </w:pPr>
            <w:r>
              <w:rPr>
                <w:iCs/>
                <w:szCs w:val="24"/>
              </w:rPr>
              <w:t>4.</w:t>
            </w:r>
            <w:r w:rsidR="00024B38">
              <w:rPr>
                <w:iCs/>
                <w:szCs w:val="24"/>
              </w:rPr>
              <w:t>2</w:t>
            </w:r>
            <w:r>
              <w:rPr>
                <w:iCs/>
                <w:szCs w:val="24"/>
              </w:rPr>
              <w:t>.</w:t>
            </w:r>
            <w:r w:rsidR="003A26FB">
              <w:rPr>
                <w:iCs/>
                <w:szCs w:val="24"/>
              </w:rPr>
              <w:t>1.2.</w:t>
            </w:r>
            <w:r w:rsidR="00F54196" w:rsidRPr="00657857">
              <w:rPr>
                <w:b/>
                <w:bCs/>
                <w:iCs/>
                <w:szCs w:val="24"/>
              </w:rPr>
              <w:t>Programa, orientuota į skaitmeninių kompetencijų ugdymą</w:t>
            </w:r>
            <w:r w:rsidR="00F54196" w:rsidRPr="00F54196">
              <w:rPr>
                <w:iCs/>
                <w:szCs w:val="24"/>
              </w:rPr>
              <w:t xml:space="preserve"> – programa, kuri atitinka ne mažiau kaip 3 iš nurodomų kompetencijų sričių (</w:t>
            </w:r>
            <w:proofErr w:type="spellStart"/>
            <w:r w:rsidR="00F54196" w:rsidRPr="00F54196">
              <w:rPr>
                <w:iCs/>
                <w:szCs w:val="24"/>
              </w:rPr>
              <w:t>The</w:t>
            </w:r>
            <w:proofErr w:type="spellEnd"/>
            <w:r w:rsidR="00F54196" w:rsidRPr="00F54196">
              <w:rPr>
                <w:iCs/>
                <w:szCs w:val="24"/>
              </w:rPr>
              <w:t xml:space="preserve"> Digital </w:t>
            </w:r>
            <w:proofErr w:type="spellStart"/>
            <w:r w:rsidR="00F54196" w:rsidRPr="00F54196">
              <w:rPr>
                <w:iCs/>
                <w:szCs w:val="24"/>
              </w:rPr>
              <w:t>Competence</w:t>
            </w:r>
            <w:proofErr w:type="spellEnd"/>
            <w:r w:rsidR="00F54196" w:rsidRPr="00F54196">
              <w:rPr>
                <w:iCs/>
                <w:szCs w:val="24"/>
              </w:rPr>
              <w:t xml:space="preserve"> </w:t>
            </w:r>
            <w:proofErr w:type="spellStart"/>
            <w:r w:rsidR="00F54196" w:rsidRPr="00F54196">
              <w:rPr>
                <w:iCs/>
                <w:szCs w:val="24"/>
              </w:rPr>
              <w:t>Framework</w:t>
            </w:r>
            <w:proofErr w:type="spellEnd"/>
            <w:r w:rsidR="00F54196" w:rsidRPr="00F54196">
              <w:rPr>
                <w:iCs/>
                <w:szCs w:val="24"/>
              </w:rPr>
              <w:t xml:space="preserve"> </w:t>
            </w:r>
            <w:proofErr w:type="spellStart"/>
            <w:r w:rsidR="00F54196" w:rsidRPr="00F54196">
              <w:rPr>
                <w:iCs/>
                <w:szCs w:val="24"/>
              </w:rPr>
              <w:t>for</w:t>
            </w:r>
            <w:proofErr w:type="spellEnd"/>
            <w:r w:rsidR="00F54196" w:rsidRPr="00F54196">
              <w:rPr>
                <w:iCs/>
                <w:szCs w:val="24"/>
              </w:rPr>
              <w:t xml:space="preserve"> </w:t>
            </w:r>
            <w:proofErr w:type="spellStart"/>
            <w:r w:rsidR="00F54196" w:rsidRPr="00F54196">
              <w:rPr>
                <w:iCs/>
                <w:szCs w:val="24"/>
              </w:rPr>
              <w:t>Citizens</w:t>
            </w:r>
            <w:proofErr w:type="spellEnd"/>
            <w:r w:rsidR="00F54196" w:rsidRPr="00F54196">
              <w:rPr>
                <w:iCs/>
                <w:szCs w:val="24"/>
              </w:rPr>
              <w:t xml:space="preserve"> – </w:t>
            </w:r>
            <w:proofErr w:type="spellStart"/>
            <w:r w:rsidR="00F54196" w:rsidRPr="00F54196">
              <w:rPr>
                <w:iCs/>
                <w:szCs w:val="24"/>
              </w:rPr>
              <w:t>With</w:t>
            </w:r>
            <w:proofErr w:type="spellEnd"/>
            <w:r w:rsidR="00F54196" w:rsidRPr="00F54196">
              <w:rPr>
                <w:iCs/>
                <w:szCs w:val="24"/>
              </w:rPr>
              <w:t xml:space="preserve"> </w:t>
            </w:r>
            <w:proofErr w:type="spellStart"/>
            <w:r w:rsidR="00F54196" w:rsidRPr="00F54196">
              <w:rPr>
                <w:iCs/>
                <w:szCs w:val="24"/>
              </w:rPr>
              <w:t>new</w:t>
            </w:r>
            <w:proofErr w:type="spellEnd"/>
            <w:r w:rsidR="00F54196" w:rsidRPr="00F54196">
              <w:rPr>
                <w:iCs/>
                <w:szCs w:val="24"/>
              </w:rPr>
              <w:t xml:space="preserve"> </w:t>
            </w:r>
            <w:proofErr w:type="spellStart"/>
            <w:r w:rsidR="00F54196" w:rsidRPr="00F54196">
              <w:rPr>
                <w:iCs/>
                <w:szCs w:val="24"/>
              </w:rPr>
              <w:t>examples</w:t>
            </w:r>
            <w:proofErr w:type="spellEnd"/>
            <w:r w:rsidR="00F54196" w:rsidRPr="00F54196">
              <w:rPr>
                <w:iCs/>
                <w:szCs w:val="24"/>
              </w:rPr>
              <w:t xml:space="preserve"> </w:t>
            </w:r>
            <w:proofErr w:type="spellStart"/>
            <w:r w:rsidR="00F54196" w:rsidRPr="00F54196">
              <w:rPr>
                <w:iCs/>
                <w:szCs w:val="24"/>
              </w:rPr>
              <w:t>of</w:t>
            </w:r>
            <w:proofErr w:type="spellEnd"/>
            <w:r w:rsidR="00F54196" w:rsidRPr="00F54196">
              <w:rPr>
                <w:iCs/>
                <w:szCs w:val="24"/>
              </w:rPr>
              <w:t xml:space="preserve"> </w:t>
            </w:r>
            <w:proofErr w:type="spellStart"/>
            <w:r w:rsidR="00F54196" w:rsidRPr="00F54196">
              <w:rPr>
                <w:iCs/>
                <w:szCs w:val="24"/>
              </w:rPr>
              <w:t>knowledge</w:t>
            </w:r>
            <w:proofErr w:type="spellEnd"/>
            <w:r w:rsidR="00F54196" w:rsidRPr="00F54196">
              <w:rPr>
                <w:iCs/>
                <w:szCs w:val="24"/>
              </w:rPr>
              <w:t xml:space="preserve">, </w:t>
            </w:r>
            <w:proofErr w:type="spellStart"/>
            <w:r w:rsidR="00F54196" w:rsidRPr="00F54196">
              <w:rPr>
                <w:iCs/>
                <w:szCs w:val="24"/>
              </w:rPr>
              <w:t>skills</w:t>
            </w:r>
            <w:proofErr w:type="spellEnd"/>
            <w:r w:rsidR="00F54196" w:rsidRPr="00F54196">
              <w:rPr>
                <w:iCs/>
                <w:szCs w:val="24"/>
              </w:rPr>
              <w:t xml:space="preserve"> </w:t>
            </w:r>
            <w:proofErr w:type="spellStart"/>
            <w:r w:rsidR="00F54196" w:rsidRPr="00F54196">
              <w:rPr>
                <w:iCs/>
                <w:szCs w:val="24"/>
              </w:rPr>
              <w:t>and</w:t>
            </w:r>
            <w:proofErr w:type="spellEnd"/>
            <w:r w:rsidR="00F54196" w:rsidRPr="00F54196">
              <w:rPr>
                <w:iCs/>
                <w:szCs w:val="24"/>
              </w:rPr>
              <w:t xml:space="preserve"> </w:t>
            </w:r>
            <w:proofErr w:type="spellStart"/>
            <w:r w:rsidR="00F54196" w:rsidRPr="00F54196">
              <w:rPr>
                <w:iCs/>
                <w:szCs w:val="24"/>
              </w:rPr>
              <w:t>attitudes</w:t>
            </w:r>
            <w:proofErr w:type="spellEnd"/>
            <w:r w:rsidR="00F54196" w:rsidRPr="00F54196">
              <w:rPr>
                <w:iCs/>
                <w:szCs w:val="24"/>
              </w:rPr>
              <w:t xml:space="preserve">, </w:t>
            </w:r>
          </w:p>
          <w:p w14:paraId="18877B91" w14:textId="39DB0604" w:rsidR="00F54196" w:rsidRPr="00F54196" w:rsidRDefault="007944B1" w:rsidP="00F54196">
            <w:pPr>
              <w:tabs>
                <w:tab w:val="left" w:pos="22"/>
                <w:tab w:val="left" w:pos="465"/>
              </w:tabs>
              <w:jc w:val="both"/>
              <w:rPr>
                <w:iCs/>
                <w:szCs w:val="24"/>
              </w:rPr>
            </w:pPr>
            <w:r>
              <w:rPr>
                <w:iCs/>
                <w:szCs w:val="24"/>
              </w:rPr>
              <w:t>4.2.1.2</w:t>
            </w:r>
            <w:r w:rsidR="00B73302">
              <w:rPr>
                <w:iCs/>
                <w:szCs w:val="24"/>
              </w:rPr>
              <w:t>.1.</w:t>
            </w:r>
            <w:r>
              <w:rPr>
                <w:iCs/>
                <w:szCs w:val="24"/>
              </w:rPr>
              <w:t xml:space="preserve"> </w:t>
            </w:r>
            <w:r w:rsidR="00F54196" w:rsidRPr="00F54196">
              <w:rPr>
                <w:iCs/>
                <w:szCs w:val="24"/>
              </w:rPr>
              <w:t xml:space="preserve">. informacijos ir duomenų raštingumas;  </w:t>
            </w:r>
          </w:p>
          <w:p w14:paraId="209C31E9" w14:textId="068CC1C7" w:rsidR="00F54196" w:rsidRPr="00F54196" w:rsidRDefault="007944B1" w:rsidP="00F54196">
            <w:pPr>
              <w:tabs>
                <w:tab w:val="left" w:pos="22"/>
                <w:tab w:val="left" w:pos="465"/>
              </w:tabs>
              <w:jc w:val="both"/>
              <w:rPr>
                <w:iCs/>
                <w:szCs w:val="24"/>
              </w:rPr>
            </w:pPr>
            <w:r>
              <w:rPr>
                <w:iCs/>
                <w:szCs w:val="24"/>
              </w:rPr>
              <w:t>4.2.1.2</w:t>
            </w:r>
            <w:r w:rsidR="00B73302">
              <w:rPr>
                <w:iCs/>
                <w:szCs w:val="24"/>
              </w:rPr>
              <w:t>.2.</w:t>
            </w:r>
            <w:r>
              <w:rPr>
                <w:iCs/>
                <w:szCs w:val="24"/>
              </w:rPr>
              <w:t xml:space="preserve"> </w:t>
            </w:r>
            <w:r w:rsidR="00F54196" w:rsidRPr="00F54196">
              <w:rPr>
                <w:iCs/>
                <w:szCs w:val="24"/>
              </w:rPr>
              <w:t xml:space="preserve">komunikacija ir bendradarbiavimas; </w:t>
            </w:r>
          </w:p>
          <w:p w14:paraId="23336F05" w14:textId="582D07CC" w:rsidR="00F54196" w:rsidRPr="00F54196" w:rsidRDefault="007944B1" w:rsidP="00F54196">
            <w:pPr>
              <w:tabs>
                <w:tab w:val="left" w:pos="22"/>
                <w:tab w:val="left" w:pos="465"/>
              </w:tabs>
              <w:jc w:val="both"/>
              <w:rPr>
                <w:iCs/>
                <w:szCs w:val="24"/>
              </w:rPr>
            </w:pPr>
            <w:r>
              <w:rPr>
                <w:iCs/>
                <w:szCs w:val="24"/>
              </w:rPr>
              <w:t>4.2.1.2</w:t>
            </w:r>
            <w:r w:rsidR="00B73302">
              <w:rPr>
                <w:iCs/>
                <w:szCs w:val="24"/>
              </w:rPr>
              <w:t>.3.</w:t>
            </w:r>
            <w:r>
              <w:rPr>
                <w:iCs/>
                <w:szCs w:val="24"/>
              </w:rPr>
              <w:t xml:space="preserve"> </w:t>
            </w:r>
            <w:r w:rsidR="00F54196" w:rsidRPr="00F54196">
              <w:rPr>
                <w:iCs/>
                <w:szCs w:val="24"/>
              </w:rPr>
              <w:t>skaitmeninio turinio kūrimas;</w:t>
            </w:r>
          </w:p>
          <w:p w14:paraId="0736CF36" w14:textId="1F363041" w:rsidR="00F54196" w:rsidRPr="00F54196" w:rsidRDefault="007944B1" w:rsidP="00F54196">
            <w:pPr>
              <w:tabs>
                <w:tab w:val="left" w:pos="22"/>
                <w:tab w:val="left" w:pos="465"/>
              </w:tabs>
              <w:jc w:val="both"/>
              <w:rPr>
                <w:iCs/>
                <w:szCs w:val="24"/>
              </w:rPr>
            </w:pPr>
            <w:r>
              <w:rPr>
                <w:iCs/>
                <w:szCs w:val="24"/>
              </w:rPr>
              <w:t>4.2.1.2</w:t>
            </w:r>
            <w:r w:rsidR="00B73302">
              <w:rPr>
                <w:iCs/>
                <w:szCs w:val="24"/>
              </w:rPr>
              <w:t>.4.</w:t>
            </w:r>
            <w:r>
              <w:rPr>
                <w:iCs/>
                <w:szCs w:val="24"/>
              </w:rPr>
              <w:t xml:space="preserve"> </w:t>
            </w:r>
            <w:r w:rsidR="00F54196" w:rsidRPr="00F54196">
              <w:rPr>
                <w:iCs/>
                <w:szCs w:val="24"/>
              </w:rPr>
              <w:t xml:space="preserve">saugumas; </w:t>
            </w:r>
          </w:p>
          <w:p w14:paraId="14D19251" w14:textId="1994658E" w:rsidR="00F54196" w:rsidRPr="003C5934" w:rsidRDefault="007944B1" w:rsidP="003C5934">
            <w:pPr>
              <w:tabs>
                <w:tab w:val="left" w:pos="22"/>
                <w:tab w:val="left" w:pos="465"/>
              </w:tabs>
              <w:jc w:val="both"/>
              <w:rPr>
                <w:iCs/>
                <w:szCs w:val="24"/>
              </w:rPr>
            </w:pPr>
            <w:r>
              <w:rPr>
                <w:iCs/>
                <w:szCs w:val="24"/>
              </w:rPr>
              <w:t>4.2.1.2</w:t>
            </w:r>
            <w:r w:rsidR="00B73302">
              <w:rPr>
                <w:iCs/>
                <w:szCs w:val="24"/>
              </w:rPr>
              <w:t>.</w:t>
            </w:r>
            <w:r w:rsidR="00363DD5">
              <w:rPr>
                <w:iCs/>
                <w:szCs w:val="24"/>
              </w:rPr>
              <w:t>5.</w:t>
            </w:r>
            <w:r>
              <w:rPr>
                <w:iCs/>
                <w:szCs w:val="24"/>
              </w:rPr>
              <w:t xml:space="preserve"> </w:t>
            </w:r>
            <w:r w:rsidR="00F54196" w:rsidRPr="00F54196">
              <w:rPr>
                <w:iCs/>
                <w:szCs w:val="24"/>
              </w:rPr>
              <w:t>problemų sprendimas.</w:t>
            </w:r>
          </w:p>
        </w:tc>
      </w:tr>
      <w:tr w:rsidR="00854253" w:rsidRPr="004B229B" w14:paraId="3898E06F" w14:textId="77777777" w:rsidTr="00561B47">
        <w:tc>
          <w:tcPr>
            <w:tcW w:w="15452" w:type="dxa"/>
          </w:tcPr>
          <w:p w14:paraId="22CD49E7" w14:textId="01154389" w:rsidR="00854253" w:rsidRPr="004B229B" w:rsidRDefault="00957CDF">
            <w:pPr>
              <w:rPr>
                <w:b/>
                <w:szCs w:val="24"/>
              </w:rPr>
            </w:pPr>
            <w:r>
              <w:rPr>
                <w:b/>
                <w:szCs w:val="24"/>
              </w:rPr>
              <w:lastRenderedPageBreak/>
              <w:t>5.</w:t>
            </w:r>
            <w:r w:rsidR="0018209F" w:rsidRPr="004B229B">
              <w:rPr>
                <w:b/>
                <w:szCs w:val="24"/>
              </w:rPr>
              <w:t xml:space="preserve"> Reikalavimai projektams</w:t>
            </w:r>
            <w:r w:rsidR="006F5F37" w:rsidRPr="004B229B">
              <w:rPr>
                <w:b/>
                <w:szCs w:val="24"/>
              </w:rPr>
              <w:t>,</w:t>
            </w:r>
            <w:r w:rsidR="006F5F37" w:rsidRPr="004B229B">
              <w:t xml:space="preserve"> </w:t>
            </w:r>
            <w:r w:rsidR="006F5F37" w:rsidRPr="004B229B">
              <w:rPr>
                <w:b/>
                <w:szCs w:val="24"/>
              </w:rPr>
              <w:t>pareiškėjams ir partneriams</w:t>
            </w:r>
          </w:p>
        </w:tc>
      </w:tr>
      <w:tr w:rsidR="00854253" w:rsidRPr="004B229B" w14:paraId="0D63D81E" w14:textId="77777777" w:rsidTr="00561B47">
        <w:tc>
          <w:tcPr>
            <w:tcW w:w="15452" w:type="dxa"/>
          </w:tcPr>
          <w:p w14:paraId="1C044D8E" w14:textId="447A711A" w:rsidR="00A34C01" w:rsidRPr="00A34C01" w:rsidRDefault="00A34C01" w:rsidP="00A34C01">
            <w:pPr>
              <w:jc w:val="both"/>
              <w:rPr>
                <w:b/>
                <w:bCs/>
                <w:szCs w:val="24"/>
              </w:rPr>
            </w:pPr>
            <w:r w:rsidRPr="005F6F0B">
              <w:rPr>
                <w:b/>
                <w:bCs/>
                <w:szCs w:val="24"/>
              </w:rPr>
              <w:t>5.1. Reikalavimai projektams</w:t>
            </w:r>
          </w:p>
          <w:p w14:paraId="5C18816D" w14:textId="2598F1EA" w:rsidR="00154BDE" w:rsidRPr="00613B5D" w:rsidRDefault="005F7584" w:rsidP="00154BDE">
            <w:pPr>
              <w:tabs>
                <w:tab w:val="left" w:pos="447"/>
                <w:tab w:val="left" w:pos="589"/>
                <w:tab w:val="left" w:pos="720"/>
              </w:tabs>
              <w:ind w:left="22"/>
              <w:jc w:val="both"/>
              <w:rPr>
                <w:bCs/>
                <w:color w:val="000000"/>
              </w:rPr>
            </w:pPr>
            <w:r w:rsidRPr="00EC3020">
              <w:rPr>
                <w:bCs/>
                <w:color w:val="000000"/>
              </w:rPr>
              <w:t>5.1.1.</w:t>
            </w:r>
            <w:r w:rsidRPr="009A5201">
              <w:rPr>
                <w:bCs/>
              </w:rPr>
              <w:tab/>
            </w:r>
            <w:r w:rsidR="005C640A" w:rsidRPr="00613B5D" w:rsidDel="005C640A">
              <w:rPr>
                <w:bCs/>
                <w:color w:val="000000"/>
              </w:rPr>
              <w:t xml:space="preserve"> </w:t>
            </w:r>
            <w:r w:rsidR="00154BDE" w:rsidRPr="00613B5D">
              <w:rPr>
                <w:bCs/>
                <w:color w:val="000000"/>
              </w:rPr>
              <w:t>Pagal Aprašą įgyvendinama 2021–2030 m. plėtros programos valdytojos Lietuvos Respublikos švietimo, mokslo ir sporto ministerijos švietimo plėtros programos pažangos priemonės Nr. 12-003-03-04-03 „Sukurti rinkos poreikius atliepiančią profesinio ugdymo sistemą“ aprašo III skyriaus 4 veikla „</w:t>
            </w:r>
            <w:r w:rsidR="00446F78" w:rsidRPr="00446F78">
              <w:rPr>
                <w:color w:val="000000"/>
                <w:szCs w:val="24"/>
              </w:rPr>
              <w:t>Priemonių, skirtų profesiniam mokymui pameistrystės forma organizuoti ir skatinti, sukūrimas ir įgyvendinimas</w:t>
            </w:r>
            <w:r w:rsidR="00154BDE" w:rsidRPr="00613B5D">
              <w:rPr>
                <w:bCs/>
                <w:color w:val="000000"/>
              </w:rPr>
              <w:t>“.</w:t>
            </w:r>
          </w:p>
          <w:p w14:paraId="03D94EBF" w14:textId="32F08B95" w:rsidR="00854253" w:rsidRPr="0071450A" w:rsidRDefault="005C640A" w:rsidP="005C640A">
            <w:pPr>
              <w:tabs>
                <w:tab w:val="left" w:pos="447"/>
                <w:tab w:val="left" w:pos="589"/>
                <w:tab w:val="left" w:pos="720"/>
              </w:tabs>
              <w:ind w:left="22"/>
              <w:jc w:val="both"/>
              <w:rPr>
                <w:bCs/>
                <w:color w:val="000000"/>
              </w:rPr>
            </w:pPr>
            <w:r>
              <w:rPr>
                <w:color w:val="000000"/>
              </w:rPr>
              <w:t xml:space="preserve">5.1.1.1. </w:t>
            </w:r>
            <w:r w:rsidR="00154BDE" w:rsidRPr="00613B5D">
              <w:rPr>
                <w:bCs/>
                <w:color w:val="000000"/>
              </w:rPr>
              <w:t xml:space="preserve">Pagal Aprašą remiamai veiklai numatomas projektų atrankos būdas – planavimas, kai vykdoma jungtinių projektų </w:t>
            </w:r>
            <w:proofErr w:type="spellStart"/>
            <w:r w:rsidR="00154BDE" w:rsidRPr="00613B5D">
              <w:rPr>
                <w:bCs/>
                <w:color w:val="000000"/>
              </w:rPr>
              <w:t>projektų</w:t>
            </w:r>
            <w:proofErr w:type="spellEnd"/>
            <w:r w:rsidR="00154BDE" w:rsidRPr="00613B5D">
              <w:rPr>
                <w:bCs/>
                <w:color w:val="000000"/>
              </w:rPr>
              <w:t xml:space="preserve"> (toliau – JP projektas) atranka.</w:t>
            </w:r>
          </w:p>
          <w:p w14:paraId="64F8CE39" w14:textId="13E125B5" w:rsidR="00F1540D" w:rsidRDefault="005C640A" w:rsidP="00613B5D">
            <w:pPr>
              <w:tabs>
                <w:tab w:val="left" w:pos="447"/>
                <w:tab w:val="left" w:pos="589"/>
                <w:tab w:val="left" w:pos="720"/>
              </w:tabs>
              <w:ind w:left="22"/>
              <w:jc w:val="both"/>
              <w:rPr>
                <w:bCs/>
                <w:color w:val="000000"/>
              </w:rPr>
            </w:pPr>
            <w:r>
              <w:rPr>
                <w:color w:val="000000"/>
              </w:rPr>
              <w:t>5.1.1.2.</w:t>
            </w:r>
            <w:r w:rsidRPr="004B229B">
              <w:rPr>
                <w:color w:val="000000"/>
              </w:rPr>
              <w:t xml:space="preserve"> </w:t>
            </w:r>
            <w:r w:rsidR="001B49DF" w:rsidRPr="001B49DF">
              <w:rPr>
                <w:bCs/>
                <w:color w:val="000000"/>
              </w:rPr>
              <w:t>Finansuojama veikla profesinio mokymo pameistrystės forma įgyvendinimas.</w:t>
            </w:r>
          </w:p>
          <w:p w14:paraId="66B72406" w14:textId="5127AD44" w:rsidR="00B62707" w:rsidRPr="00B62707" w:rsidRDefault="00A465E7" w:rsidP="00A465E7">
            <w:pPr>
              <w:tabs>
                <w:tab w:val="left" w:pos="447"/>
                <w:tab w:val="left" w:pos="589"/>
                <w:tab w:val="left" w:pos="720"/>
              </w:tabs>
              <w:ind w:left="22"/>
              <w:jc w:val="both"/>
              <w:rPr>
                <w:bCs/>
                <w:color w:val="000000"/>
              </w:rPr>
            </w:pPr>
            <w:r w:rsidRPr="00F1540D">
              <w:rPr>
                <w:bCs/>
                <w:color w:val="000000"/>
              </w:rPr>
              <w:t>5.1.1.</w:t>
            </w:r>
            <w:r>
              <w:rPr>
                <w:bCs/>
                <w:color w:val="000000"/>
              </w:rPr>
              <w:t>3</w:t>
            </w:r>
            <w:r w:rsidRPr="00F1540D">
              <w:rPr>
                <w:bCs/>
                <w:color w:val="000000"/>
              </w:rPr>
              <w:t>.</w:t>
            </w:r>
            <w:r w:rsidR="005C640A">
              <w:rPr>
                <w:bCs/>
                <w:color w:val="000000"/>
              </w:rPr>
              <w:t xml:space="preserve"> </w:t>
            </w:r>
            <w:r w:rsidR="00B62707" w:rsidRPr="00B62707">
              <w:rPr>
                <w:bCs/>
                <w:color w:val="000000"/>
              </w:rPr>
              <w:t xml:space="preserve">Jungtinio projekto veiklos turi būti baigtos ne vėliau, nei numatyta Projektų administravimo ir finansavimo taisyklių 149 punkte. Jungtinio projekto veiklų įgyvendinimo terminas gali būti pratęstas, pasikeitus Projektų administravimo ir finansavimo taisyklių 149 punkte nurodytam išlaidų deklaravimo terminui, bet ne ilgesniam nei „Naujos kartos Lietuva“ plane numatytam investicijų įgyvendinimo ir rodiklių pasiekimo terminui. </w:t>
            </w:r>
          </w:p>
          <w:p w14:paraId="1AEDDDC3" w14:textId="7A2EF73F" w:rsidR="00B62707" w:rsidRPr="00B62707" w:rsidRDefault="00992023" w:rsidP="00B62707">
            <w:pPr>
              <w:tabs>
                <w:tab w:val="left" w:pos="447"/>
                <w:tab w:val="left" w:pos="589"/>
                <w:tab w:val="left" w:pos="720"/>
              </w:tabs>
              <w:ind w:left="22"/>
              <w:jc w:val="both"/>
              <w:rPr>
                <w:bCs/>
                <w:color w:val="000000"/>
              </w:rPr>
            </w:pPr>
            <w:r w:rsidRPr="00F1540D">
              <w:rPr>
                <w:bCs/>
                <w:color w:val="000000"/>
              </w:rPr>
              <w:t>5.1.1.</w:t>
            </w:r>
            <w:r w:rsidR="00AD0E4E">
              <w:rPr>
                <w:bCs/>
                <w:color w:val="000000"/>
              </w:rPr>
              <w:t xml:space="preserve">4. </w:t>
            </w:r>
            <w:r w:rsidR="00B62707" w:rsidRPr="00B62707">
              <w:rPr>
                <w:bCs/>
                <w:color w:val="000000"/>
              </w:rPr>
              <w:t>Jungtinis projektas turi atitikti bendruosius projektų atrankos kriterijus, nurodytus Projektų taisyklių 2 priede.</w:t>
            </w:r>
          </w:p>
          <w:p w14:paraId="326144AD" w14:textId="4FA1BC09" w:rsidR="00B62707" w:rsidRPr="00B62707" w:rsidRDefault="00AD0E4E" w:rsidP="00B62707">
            <w:pPr>
              <w:tabs>
                <w:tab w:val="left" w:pos="447"/>
                <w:tab w:val="left" w:pos="589"/>
                <w:tab w:val="left" w:pos="720"/>
              </w:tabs>
              <w:ind w:left="22"/>
              <w:jc w:val="both"/>
              <w:rPr>
                <w:bCs/>
                <w:color w:val="000000"/>
              </w:rPr>
            </w:pPr>
            <w:r w:rsidRPr="00F1540D">
              <w:rPr>
                <w:bCs/>
                <w:color w:val="000000"/>
              </w:rPr>
              <w:t>5.1.1.</w:t>
            </w:r>
            <w:r>
              <w:rPr>
                <w:bCs/>
                <w:color w:val="000000"/>
              </w:rPr>
              <w:t xml:space="preserve">5. </w:t>
            </w:r>
            <w:r w:rsidR="00B62707" w:rsidRPr="00B62707">
              <w:rPr>
                <w:bCs/>
                <w:color w:val="000000"/>
              </w:rPr>
              <w:t xml:space="preserve">Jungtinio projekto vykdytojas (t. y. ESFA) turi užtikrinti, kad atrenkant ir įgyvendinant JP projektus ne mažiau kaip 70 proc. mokinių, pasirinkusių profesinį mokymą pameistrystės forma, mokysis vidutinėse, mažose ir labai mažose įmonėse. Pagal su JP projekto paraiška įmonės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jungtinio projekto vykdytojas (t. y. ESFA) duomenų teisingumą patikrina Juridinių asmenų registro ir Valstybinio socialinio draudimo fondo valdybos prie Socialinės apsaugos ir darbo ministerijos (Sodra) skelbiamoje atvirų duomenų informacijoje). Tačiau, jeigu įmonė nėra pateikusi patvirtintų metinių finansinių ataskaitų rinkinių Juridinių asmenų registrui, šiuos dokumentus ji turi pateikti kartu su JP projekto paraiška. </w:t>
            </w:r>
          </w:p>
          <w:p w14:paraId="35DEDDCC" w14:textId="7995324D" w:rsidR="00613B5D" w:rsidRDefault="00AD0E4E" w:rsidP="00B62707">
            <w:pPr>
              <w:tabs>
                <w:tab w:val="left" w:pos="447"/>
                <w:tab w:val="left" w:pos="589"/>
                <w:tab w:val="left" w:pos="720"/>
              </w:tabs>
              <w:ind w:left="22"/>
              <w:jc w:val="both"/>
              <w:rPr>
                <w:bCs/>
                <w:color w:val="000000"/>
              </w:rPr>
            </w:pPr>
            <w:r w:rsidRPr="00F1540D">
              <w:rPr>
                <w:bCs/>
                <w:color w:val="000000"/>
              </w:rPr>
              <w:lastRenderedPageBreak/>
              <w:t>5.1.1.</w:t>
            </w:r>
            <w:r>
              <w:rPr>
                <w:bCs/>
                <w:color w:val="000000"/>
              </w:rPr>
              <w:t>6.</w:t>
            </w:r>
            <w:r w:rsidR="007773E6" w:rsidRPr="00B62707">
              <w:rPr>
                <w:bCs/>
                <w:color w:val="000000"/>
              </w:rPr>
              <w:t xml:space="preserve"> </w:t>
            </w:r>
            <w:r w:rsidR="00B62707" w:rsidRPr="00B62707">
              <w:rPr>
                <w:bCs/>
                <w:color w:val="000000"/>
              </w:rPr>
              <w:t xml:space="preserve">Privalomi komunikacijos ir informavimo (viešinimo) veiksmai atliekami vadovaujantis Projektų taisyklių VIII skyriaus pirmame skirsnyje „Informavimas apie projektą ir komunikacija“.  </w:t>
            </w:r>
          </w:p>
          <w:p w14:paraId="4AFB60D3" w14:textId="3FAD8326" w:rsidR="00542AB5" w:rsidRPr="00542AB5" w:rsidRDefault="00AD0E4E" w:rsidP="00542AB5">
            <w:pPr>
              <w:tabs>
                <w:tab w:val="left" w:pos="447"/>
                <w:tab w:val="left" w:pos="589"/>
                <w:tab w:val="left" w:pos="720"/>
              </w:tabs>
              <w:ind w:left="22"/>
              <w:jc w:val="both"/>
              <w:rPr>
                <w:bCs/>
                <w:color w:val="000000"/>
              </w:rPr>
            </w:pPr>
            <w:r w:rsidRPr="00AD0E4E">
              <w:rPr>
                <w:bCs/>
                <w:color w:val="000000"/>
              </w:rPr>
              <w:t>5.1.1.</w:t>
            </w:r>
            <w:r>
              <w:rPr>
                <w:bCs/>
                <w:color w:val="000000"/>
              </w:rPr>
              <w:t>7</w:t>
            </w:r>
            <w:r w:rsidRPr="00AD0E4E">
              <w:rPr>
                <w:bCs/>
                <w:color w:val="000000"/>
              </w:rPr>
              <w:t xml:space="preserve">. </w:t>
            </w:r>
            <w:r w:rsidR="00542AB5" w:rsidRPr="00542AB5">
              <w:rPr>
                <w:bCs/>
                <w:color w:val="000000"/>
              </w:rPr>
              <w:t xml:space="preserve">Jungtinio projekto vykdytojas (t. y. ESFA) turi užtikrinti JP projektų atitiktį de </w:t>
            </w:r>
            <w:proofErr w:type="spellStart"/>
            <w:r w:rsidR="00542AB5" w:rsidRPr="00542AB5">
              <w:rPr>
                <w:bCs/>
                <w:color w:val="000000"/>
              </w:rPr>
              <w:t>minimis</w:t>
            </w:r>
            <w:proofErr w:type="spellEnd"/>
            <w:r w:rsidR="00542AB5" w:rsidRPr="00542AB5">
              <w:rPr>
                <w:bCs/>
                <w:color w:val="000000"/>
              </w:rPr>
              <w:t xml:space="preserve"> pagalbai, kaip ji apibrėžta pagal Komisijos reglamentą (ES) Nr. 1407/2013.</w:t>
            </w:r>
          </w:p>
          <w:p w14:paraId="2ECCDFB8" w14:textId="001244E9" w:rsidR="00613B5D" w:rsidRDefault="006F5C18" w:rsidP="00542AB5">
            <w:pPr>
              <w:tabs>
                <w:tab w:val="left" w:pos="447"/>
                <w:tab w:val="left" w:pos="589"/>
                <w:tab w:val="left" w:pos="720"/>
              </w:tabs>
              <w:ind w:left="22"/>
              <w:jc w:val="both"/>
              <w:rPr>
                <w:bCs/>
                <w:color w:val="000000"/>
              </w:rPr>
            </w:pPr>
            <w:r w:rsidRPr="00AD0E4E">
              <w:rPr>
                <w:bCs/>
                <w:color w:val="000000"/>
              </w:rPr>
              <w:t>5.1.1.</w:t>
            </w:r>
            <w:r w:rsidR="007773E6">
              <w:rPr>
                <w:bCs/>
                <w:color w:val="000000"/>
              </w:rPr>
              <w:t>8</w:t>
            </w:r>
            <w:r w:rsidRPr="00AD0E4E">
              <w:rPr>
                <w:bCs/>
                <w:color w:val="000000"/>
              </w:rPr>
              <w:t xml:space="preserve">. </w:t>
            </w:r>
            <w:r w:rsidR="00542AB5" w:rsidRPr="00542AB5">
              <w:rPr>
                <w:bCs/>
                <w:color w:val="000000"/>
              </w:rPr>
              <w:t>Kartu su projekto įgyvendinimo planu (toliau – PĮP) jungtinio projekto pareiškėjas (t. y. ESFA) turi pateikti dokumentus, pagrindžiančius projekto išlaidų pagrįstumą (sudarytos sutartys, komerciniai pasiūlymai, nuorodos į rinkoje esančias kainas), išlaidų skaičiavimus, jeigu išlaidos bus apmokamos pagal faktinį jų patyrimą, kaip nurodyta Projektų taisyklių 148.1 papunktyje.</w:t>
            </w:r>
          </w:p>
          <w:p w14:paraId="13BE7A3B" w14:textId="05DD7037" w:rsidR="00CE740F" w:rsidRPr="00CE740F" w:rsidRDefault="00CE740F" w:rsidP="00E21947">
            <w:pPr>
              <w:jc w:val="both"/>
            </w:pPr>
          </w:p>
        </w:tc>
      </w:tr>
      <w:tr w:rsidR="005D30F6" w:rsidRPr="004B229B" w14:paraId="4B505E77" w14:textId="77777777" w:rsidTr="00561B47">
        <w:tc>
          <w:tcPr>
            <w:tcW w:w="15452" w:type="dxa"/>
          </w:tcPr>
          <w:p w14:paraId="0F29A29F" w14:textId="7BFA66F7" w:rsidR="00DA5D11" w:rsidRPr="00DA5D11" w:rsidRDefault="00412C35" w:rsidP="00DA5D11">
            <w:pPr>
              <w:jc w:val="both"/>
              <w:rPr>
                <w:b/>
                <w:bCs/>
                <w:szCs w:val="24"/>
              </w:rPr>
            </w:pPr>
            <w:r w:rsidRPr="00412C35">
              <w:rPr>
                <w:b/>
                <w:bCs/>
                <w:szCs w:val="24"/>
              </w:rPr>
              <w:lastRenderedPageBreak/>
              <w:t>5.2. Reikalavimai pareiškėjams</w:t>
            </w:r>
          </w:p>
        </w:tc>
      </w:tr>
      <w:tr w:rsidR="005D30F6" w:rsidRPr="004B229B" w14:paraId="3300CA13" w14:textId="77777777" w:rsidTr="00657857">
        <w:trPr>
          <w:trHeight w:val="313"/>
        </w:trPr>
        <w:tc>
          <w:tcPr>
            <w:tcW w:w="15452" w:type="dxa"/>
          </w:tcPr>
          <w:p w14:paraId="37B19729" w14:textId="1D3C9E62" w:rsidR="005D30F6" w:rsidRPr="005F6F0B" w:rsidRDefault="00DA5D11" w:rsidP="006F5C18">
            <w:pPr>
              <w:tabs>
                <w:tab w:val="left" w:pos="22"/>
                <w:tab w:val="left" w:pos="589"/>
              </w:tabs>
              <w:jc w:val="both"/>
              <w:rPr>
                <w:b/>
                <w:bCs/>
                <w:szCs w:val="24"/>
              </w:rPr>
            </w:pPr>
            <w:r>
              <w:t>5.2.1.</w:t>
            </w:r>
            <w:r w:rsidR="00460BA1" w:rsidRPr="00460BA1">
              <w:rPr>
                <w:bCs/>
                <w:color w:val="000000"/>
              </w:rPr>
              <w:t>.</w:t>
            </w:r>
            <w:r w:rsidR="00F83FDE" w:rsidRPr="00613B5D">
              <w:rPr>
                <w:bCs/>
                <w:color w:val="000000"/>
              </w:rPr>
              <w:t>Galimas jungtinio projekto pareiškėjas – Europos socialinio fondo agentūra (toliau – ESFA</w:t>
            </w:r>
            <w:r w:rsidR="00267B4B">
              <w:rPr>
                <w:bCs/>
                <w:color w:val="000000"/>
              </w:rPr>
              <w:t>).</w:t>
            </w:r>
          </w:p>
        </w:tc>
      </w:tr>
      <w:tr w:rsidR="00DA5D11" w:rsidRPr="004B229B" w14:paraId="04711199" w14:textId="77777777" w:rsidTr="00561B47">
        <w:tc>
          <w:tcPr>
            <w:tcW w:w="15452" w:type="dxa"/>
          </w:tcPr>
          <w:p w14:paraId="151FEA6D" w14:textId="335BBE5D" w:rsidR="00DA5D11" w:rsidRPr="003010CE" w:rsidRDefault="003010CE" w:rsidP="00DA5D11">
            <w:pPr>
              <w:tabs>
                <w:tab w:val="left" w:pos="22"/>
                <w:tab w:val="left" w:pos="589"/>
              </w:tabs>
              <w:jc w:val="both"/>
              <w:rPr>
                <w:b/>
              </w:rPr>
            </w:pPr>
            <w:r w:rsidRPr="005F6F0B">
              <w:rPr>
                <w:b/>
              </w:rPr>
              <w:t>5.3. Reikalavimai partneriams</w:t>
            </w:r>
          </w:p>
        </w:tc>
      </w:tr>
      <w:tr w:rsidR="003010CE" w:rsidRPr="004B229B" w14:paraId="157D2C09" w14:textId="77777777" w:rsidTr="00561B47">
        <w:tc>
          <w:tcPr>
            <w:tcW w:w="15452" w:type="dxa"/>
          </w:tcPr>
          <w:p w14:paraId="743E4F82" w14:textId="1AC05351" w:rsidR="003010CE" w:rsidRPr="00267B4B" w:rsidRDefault="003010CE" w:rsidP="00DA5D11">
            <w:pPr>
              <w:tabs>
                <w:tab w:val="left" w:pos="22"/>
                <w:tab w:val="left" w:pos="589"/>
              </w:tabs>
              <w:jc w:val="both"/>
              <w:rPr>
                <w:highlight w:val="yellow"/>
              </w:rPr>
            </w:pPr>
            <w:r w:rsidRPr="009F0C4D">
              <w:t>5.3.1</w:t>
            </w:r>
            <w:r w:rsidR="00F92F31" w:rsidRPr="009F0C4D">
              <w:t>.</w:t>
            </w:r>
            <w:r w:rsidRPr="009F0C4D">
              <w:t xml:space="preserve"> </w:t>
            </w:r>
            <w:r w:rsidR="00A23F36" w:rsidRPr="006F3D38">
              <w:t>Netaikoma</w:t>
            </w:r>
          </w:p>
        </w:tc>
      </w:tr>
      <w:tr w:rsidR="00854253" w:rsidRPr="004B229B" w14:paraId="60918BD0" w14:textId="77777777" w:rsidTr="00561B47">
        <w:tc>
          <w:tcPr>
            <w:tcW w:w="15452" w:type="dxa"/>
          </w:tcPr>
          <w:p w14:paraId="4A66B098" w14:textId="19226564" w:rsidR="00854253" w:rsidRPr="004B229B" w:rsidRDefault="00532D2A">
            <w:pPr>
              <w:jc w:val="both"/>
              <w:rPr>
                <w:iCs/>
                <w:szCs w:val="24"/>
              </w:rPr>
            </w:pPr>
            <w:r>
              <w:rPr>
                <w:b/>
                <w:szCs w:val="24"/>
              </w:rPr>
              <w:t>6.</w:t>
            </w:r>
            <w:r w:rsidR="001A3288" w:rsidRPr="004B229B">
              <w:rPr>
                <w:b/>
                <w:szCs w:val="24"/>
              </w:rPr>
              <w:t xml:space="preserve"> </w:t>
            </w:r>
            <w:r w:rsidR="0018209F" w:rsidRPr="004B229B">
              <w:rPr>
                <w:b/>
                <w:szCs w:val="24"/>
              </w:rPr>
              <w:t>Reikalavimai jungtinio projekto projektams</w:t>
            </w:r>
            <w:r w:rsidR="001A3288" w:rsidRPr="004B229B">
              <w:rPr>
                <w:b/>
                <w:szCs w:val="24"/>
              </w:rPr>
              <w:t xml:space="preserve"> ir jungtinio projekto projektų pareiškėjams</w:t>
            </w:r>
          </w:p>
        </w:tc>
      </w:tr>
      <w:tr w:rsidR="00854253" w:rsidRPr="004B229B" w14:paraId="7E27904D" w14:textId="77777777" w:rsidTr="00532D2A">
        <w:trPr>
          <w:trHeight w:val="433"/>
        </w:trPr>
        <w:tc>
          <w:tcPr>
            <w:tcW w:w="15452" w:type="dxa"/>
          </w:tcPr>
          <w:p w14:paraId="4413CD85" w14:textId="3421E904" w:rsidR="00B70EE9" w:rsidRPr="00B70EE9" w:rsidRDefault="00F62048" w:rsidP="00B70EE9">
            <w:pPr>
              <w:jc w:val="both"/>
              <w:rPr>
                <w:iCs/>
                <w:szCs w:val="24"/>
              </w:rPr>
            </w:pPr>
            <w:r>
              <w:rPr>
                <w:iCs/>
                <w:szCs w:val="24"/>
              </w:rPr>
              <w:t xml:space="preserve">6.1. </w:t>
            </w:r>
            <w:r w:rsidR="00B70EE9" w:rsidRPr="00B70EE9">
              <w:rPr>
                <w:iCs/>
                <w:szCs w:val="24"/>
              </w:rPr>
              <w:t xml:space="preserve">Tinkami JP projektų pareiškėjai – profesinio mokymo įstaigos, kuriose ŠMSM įgyvendina savininko (dalininko) teises ir pareigas. </w:t>
            </w:r>
          </w:p>
          <w:p w14:paraId="46C05323" w14:textId="3CCBA5C1" w:rsidR="00B70EE9" w:rsidRPr="006F3D38" w:rsidRDefault="00F62048" w:rsidP="00B70EE9">
            <w:pPr>
              <w:jc w:val="both"/>
              <w:rPr>
                <w:iCs/>
                <w:szCs w:val="24"/>
              </w:rPr>
            </w:pPr>
            <w:r>
              <w:rPr>
                <w:iCs/>
                <w:szCs w:val="24"/>
              </w:rPr>
              <w:t xml:space="preserve">6.2. </w:t>
            </w:r>
            <w:r w:rsidR="00B70EE9" w:rsidRPr="00B70EE9">
              <w:rPr>
                <w:iCs/>
                <w:szCs w:val="24"/>
              </w:rPr>
              <w:t>Finansuojama JP projektų veikla nurodyta Aprašo</w:t>
            </w:r>
            <w:r w:rsidR="00B70EE9" w:rsidRPr="006F3D38">
              <w:rPr>
                <w:iCs/>
                <w:szCs w:val="24"/>
              </w:rPr>
              <w:t xml:space="preserve"> </w:t>
            </w:r>
            <w:r w:rsidR="00D86561" w:rsidRPr="006F3D38">
              <w:rPr>
                <w:color w:val="000000"/>
              </w:rPr>
              <w:t xml:space="preserve">5.1.1.2. </w:t>
            </w:r>
            <w:r w:rsidR="00B70EE9" w:rsidRPr="006F3D38">
              <w:rPr>
                <w:iCs/>
                <w:szCs w:val="24"/>
              </w:rPr>
              <w:t xml:space="preserve">papunktyje. </w:t>
            </w:r>
          </w:p>
          <w:p w14:paraId="5B424E2A" w14:textId="6BA2B7C6" w:rsidR="00B70EE9" w:rsidRPr="006F3D38" w:rsidRDefault="00F62048" w:rsidP="00B70EE9">
            <w:pPr>
              <w:jc w:val="both"/>
              <w:rPr>
                <w:iCs/>
                <w:szCs w:val="24"/>
              </w:rPr>
            </w:pPr>
            <w:r w:rsidRPr="006F3D38">
              <w:rPr>
                <w:iCs/>
                <w:szCs w:val="24"/>
              </w:rPr>
              <w:t xml:space="preserve">6.3. </w:t>
            </w:r>
            <w:r w:rsidR="00B70EE9" w:rsidRPr="006F3D38">
              <w:rPr>
                <w:iCs/>
                <w:szCs w:val="24"/>
              </w:rPr>
              <w:t xml:space="preserve">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 Ši nuostata įsigalioja naujų kvietimų metu pateiktiems jungtinio projekto projektams. </w:t>
            </w:r>
          </w:p>
          <w:p w14:paraId="19BD830B" w14:textId="7ABAE352" w:rsidR="00B70EE9" w:rsidRPr="006F3D38" w:rsidRDefault="00F62048" w:rsidP="00B70EE9">
            <w:pPr>
              <w:jc w:val="both"/>
              <w:rPr>
                <w:iCs/>
                <w:szCs w:val="24"/>
              </w:rPr>
            </w:pPr>
            <w:r w:rsidRPr="006F3D38">
              <w:rPr>
                <w:iCs/>
                <w:szCs w:val="24"/>
              </w:rPr>
              <w:t xml:space="preserve">6.4. </w:t>
            </w:r>
            <w:r w:rsidR="00B70EE9" w:rsidRPr="006F3D38">
              <w:rPr>
                <w:iCs/>
                <w:szCs w:val="24"/>
              </w:rPr>
              <w:t xml:space="preserve">JP projekto vykdytojas turi užtikrinti, kad pameistrystėje dalyvaus tik mokiniai, atitinkantys </w:t>
            </w:r>
            <w:r w:rsidR="00607834" w:rsidRPr="006F3D38">
              <w:rPr>
                <w:iCs/>
                <w:szCs w:val="24"/>
              </w:rPr>
              <w:t xml:space="preserve">6.3. </w:t>
            </w:r>
            <w:r w:rsidR="00B70EE9" w:rsidRPr="006F3D38">
              <w:rPr>
                <w:iCs/>
                <w:szCs w:val="24"/>
              </w:rPr>
              <w:t xml:space="preserve">papunkčio reikalavimą. </w:t>
            </w:r>
          </w:p>
          <w:p w14:paraId="1658F20C" w14:textId="677782D9" w:rsidR="00B70EE9" w:rsidRPr="006F3D38" w:rsidRDefault="00BD79D5" w:rsidP="00B70EE9">
            <w:pPr>
              <w:jc w:val="both"/>
              <w:rPr>
                <w:iCs/>
                <w:szCs w:val="24"/>
              </w:rPr>
            </w:pPr>
            <w:r w:rsidRPr="006F3D38">
              <w:rPr>
                <w:iCs/>
                <w:szCs w:val="24"/>
              </w:rPr>
              <w:t>6.</w:t>
            </w:r>
            <w:r w:rsidR="00B81769" w:rsidRPr="006F3D38">
              <w:rPr>
                <w:iCs/>
                <w:szCs w:val="24"/>
              </w:rPr>
              <w:t>5</w:t>
            </w:r>
            <w:r w:rsidRPr="006F3D38">
              <w:rPr>
                <w:iCs/>
                <w:szCs w:val="24"/>
              </w:rPr>
              <w:t xml:space="preserve">. </w:t>
            </w:r>
            <w:r w:rsidR="00B70EE9" w:rsidRPr="006F3D38">
              <w:rPr>
                <w:iCs/>
                <w:szCs w:val="24"/>
              </w:rPr>
              <w:t xml:space="preserve">Pagal Aprašo </w:t>
            </w:r>
            <w:r w:rsidR="00B752BB" w:rsidRPr="006F3D38">
              <w:rPr>
                <w:color w:val="000000"/>
              </w:rPr>
              <w:t xml:space="preserve">5.1.1.2. </w:t>
            </w:r>
            <w:r w:rsidR="00B70EE9" w:rsidRPr="006F3D38">
              <w:rPr>
                <w:iCs/>
                <w:szCs w:val="24"/>
              </w:rPr>
              <w:t>punkte nurodytą veiklą nėra numatomas finansavimas asmenims, kuriems taikomas Užimtumo įstatymas.</w:t>
            </w:r>
          </w:p>
          <w:p w14:paraId="6D4A80E9" w14:textId="6EE3B524" w:rsidR="00B70EE9" w:rsidRPr="006F3D38" w:rsidRDefault="00BD79D5" w:rsidP="00B70EE9">
            <w:pPr>
              <w:jc w:val="both"/>
              <w:rPr>
                <w:iCs/>
                <w:szCs w:val="24"/>
              </w:rPr>
            </w:pPr>
            <w:r w:rsidRPr="006F3D38">
              <w:rPr>
                <w:iCs/>
                <w:szCs w:val="24"/>
              </w:rPr>
              <w:t>6.</w:t>
            </w:r>
            <w:r w:rsidR="00B81769" w:rsidRPr="006F3D38">
              <w:rPr>
                <w:iCs/>
                <w:szCs w:val="24"/>
              </w:rPr>
              <w:t>6</w:t>
            </w:r>
            <w:r w:rsidRPr="006F3D38">
              <w:rPr>
                <w:iCs/>
                <w:szCs w:val="24"/>
              </w:rPr>
              <w:t xml:space="preserve">. </w:t>
            </w:r>
            <w:r w:rsidR="00B70EE9" w:rsidRPr="006F3D38">
              <w:rPr>
                <w:iCs/>
                <w:szCs w:val="24"/>
              </w:rPr>
              <w:t>Maksimali finansuojama profesinio mokymo pameistrystės forma trukmė yra iki 9 mėn. (1440 val.).</w:t>
            </w:r>
          </w:p>
          <w:p w14:paraId="5E406095" w14:textId="30A91F03" w:rsidR="00B70EE9" w:rsidRPr="006F3D38" w:rsidRDefault="00BD79D5" w:rsidP="00B70EE9">
            <w:pPr>
              <w:jc w:val="both"/>
              <w:rPr>
                <w:iCs/>
                <w:szCs w:val="24"/>
              </w:rPr>
            </w:pPr>
            <w:r w:rsidRPr="006F3D38">
              <w:rPr>
                <w:iCs/>
                <w:szCs w:val="24"/>
              </w:rPr>
              <w:t>6.</w:t>
            </w:r>
            <w:r w:rsidR="00B81769" w:rsidRPr="006F3D38">
              <w:rPr>
                <w:iCs/>
                <w:szCs w:val="24"/>
              </w:rPr>
              <w:t>7</w:t>
            </w:r>
            <w:r w:rsidRPr="006F3D38">
              <w:rPr>
                <w:iCs/>
                <w:szCs w:val="24"/>
              </w:rPr>
              <w:t xml:space="preserve">. </w:t>
            </w:r>
            <w:r w:rsidR="00B70EE9" w:rsidRPr="006F3D38">
              <w:rPr>
                <w:iCs/>
                <w:szCs w:val="24"/>
              </w:rPr>
              <w:t>Kiekvienas JP projektas turi atitikti projektų bendruosius atrankos kriterijus, nurodytus Projektų taisyklių 2 priede.</w:t>
            </w:r>
          </w:p>
          <w:p w14:paraId="66C60A5F" w14:textId="795DAB1E" w:rsidR="00B70EE9" w:rsidRPr="00B70EE9" w:rsidRDefault="00BD79D5" w:rsidP="00B70EE9">
            <w:pPr>
              <w:jc w:val="both"/>
              <w:rPr>
                <w:iCs/>
                <w:szCs w:val="24"/>
              </w:rPr>
            </w:pPr>
            <w:r w:rsidRPr="006F3D38">
              <w:rPr>
                <w:iCs/>
                <w:szCs w:val="24"/>
              </w:rPr>
              <w:t>6.</w:t>
            </w:r>
            <w:r w:rsidR="00B81769" w:rsidRPr="006F3D38">
              <w:rPr>
                <w:iCs/>
                <w:szCs w:val="24"/>
              </w:rPr>
              <w:t>8</w:t>
            </w:r>
            <w:r w:rsidRPr="006F3D38">
              <w:rPr>
                <w:iCs/>
                <w:szCs w:val="24"/>
              </w:rPr>
              <w:t xml:space="preserve">. </w:t>
            </w:r>
            <w:r w:rsidR="00B70EE9" w:rsidRPr="006F3D38">
              <w:rPr>
                <w:iCs/>
                <w:szCs w:val="24"/>
              </w:rPr>
              <w:t xml:space="preserve">Kiekvienas JP projektas turi atitikti Aprašo </w:t>
            </w:r>
            <w:r w:rsidR="00F75EB6" w:rsidRPr="006F3D38">
              <w:rPr>
                <w:szCs w:val="24"/>
              </w:rPr>
              <w:t xml:space="preserve">13.2. </w:t>
            </w:r>
            <w:r w:rsidR="00B70EE9" w:rsidRPr="00B70EE9">
              <w:rPr>
                <w:iCs/>
                <w:szCs w:val="24"/>
              </w:rPr>
              <w:t>„Jungtinio projekto projektų atrankos kriterijai“ skirsnyje nurodytus specialiuosius projektų atrankos kriterijus.</w:t>
            </w:r>
          </w:p>
          <w:p w14:paraId="5688BAF9" w14:textId="197A8D18" w:rsidR="00B70EE9" w:rsidRPr="00B70EE9" w:rsidRDefault="00BD79D5" w:rsidP="00B70EE9">
            <w:pPr>
              <w:jc w:val="both"/>
              <w:rPr>
                <w:iCs/>
                <w:szCs w:val="24"/>
              </w:rPr>
            </w:pPr>
            <w:r>
              <w:rPr>
                <w:iCs/>
                <w:szCs w:val="24"/>
              </w:rPr>
              <w:t>6.</w:t>
            </w:r>
            <w:r w:rsidR="00B81769">
              <w:rPr>
                <w:iCs/>
                <w:szCs w:val="24"/>
              </w:rPr>
              <w:t>9</w:t>
            </w:r>
            <w:r>
              <w:rPr>
                <w:iCs/>
                <w:szCs w:val="24"/>
              </w:rPr>
              <w:t xml:space="preserve">. </w:t>
            </w:r>
            <w:r w:rsidR="00B70EE9" w:rsidRPr="00B70EE9">
              <w:rPr>
                <w:iCs/>
                <w:szCs w:val="24"/>
              </w:rPr>
              <w:t>JP projektams finansuoti taikoma finansavimo forma – dotacija.</w:t>
            </w:r>
          </w:p>
          <w:p w14:paraId="5679C1D7" w14:textId="3BB3DB38" w:rsidR="00B70EE9" w:rsidRPr="00B70EE9" w:rsidRDefault="00BD79D5" w:rsidP="00B70EE9">
            <w:pPr>
              <w:jc w:val="both"/>
              <w:rPr>
                <w:iCs/>
                <w:szCs w:val="24"/>
              </w:rPr>
            </w:pPr>
            <w:r>
              <w:rPr>
                <w:iCs/>
                <w:szCs w:val="24"/>
              </w:rPr>
              <w:t>6.1</w:t>
            </w:r>
            <w:r w:rsidR="00B81769">
              <w:rPr>
                <w:iCs/>
                <w:szCs w:val="24"/>
              </w:rPr>
              <w:t>0</w:t>
            </w:r>
            <w:r>
              <w:rPr>
                <w:iCs/>
                <w:szCs w:val="24"/>
              </w:rPr>
              <w:t>.</w:t>
            </w:r>
            <w:r w:rsidR="00B70EE9" w:rsidRPr="00B70EE9">
              <w:rPr>
                <w:iCs/>
                <w:szCs w:val="24"/>
              </w:rPr>
              <w:t>Didžiausia galima JP projektų finansuojamoji dalis sudaro 100 proc. visų tinkamų finansuoti projekto išlaidų. JP projektų pareiškėjai savo iniciatyva ir savo, ir (arba) kitų šaltinių lėšomis gali prisidėti prie projekto įgyvendinimo.</w:t>
            </w:r>
          </w:p>
          <w:p w14:paraId="180E37B7" w14:textId="0CC9FC1C" w:rsidR="00B70EE9" w:rsidRPr="00B70EE9" w:rsidRDefault="00BD79D5" w:rsidP="00B70EE9">
            <w:pPr>
              <w:jc w:val="both"/>
              <w:rPr>
                <w:iCs/>
                <w:szCs w:val="24"/>
              </w:rPr>
            </w:pPr>
            <w:r>
              <w:rPr>
                <w:iCs/>
                <w:szCs w:val="24"/>
              </w:rPr>
              <w:t>6.1</w:t>
            </w:r>
            <w:r w:rsidR="00B81769">
              <w:rPr>
                <w:iCs/>
                <w:szCs w:val="24"/>
              </w:rPr>
              <w:t>1</w:t>
            </w:r>
            <w:r>
              <w:rPr>
                <w:iCs/>
                <w:szCs w:val="24"/>
              </w:rPr>
              <w:t xml:space="preserve">. </w:t>
            </w:r>
            <w:r w:rsidR="00B70EE9" w:rsidRPr="00B70EE9">
              <w:rPr>
                <w:iCs/>
                <w:szCs w:val="24"/>
              </w:rPr>
              <w:t>JP projektų veiklos turi būti vykdomos Lietuvos Respublikoje.</w:t>
            </w:r>
          </w:p>
          <w:p w14:paraId="747C1C74" w14:textId="3BD98415" w:rsidR="00B70EE9" w:rsidRPr="00B70EE9" w:rsidRDefault="00BD79D5" w:rsidP="00B70EE9">
            <w:pPr>
              <w:jc w:val="both"/>
              <w:rPr>
                <w:iCs/>
                <w:szCs w:val="24"/>
              </w:rPr>
            </w:pPr>
            <w:r>
              <w:rPr>
                <w:iCs/>
                <w:szCs w:val="24"/>
              </w:rPr>
              <w:t>6.1</w:t>
            </w:r>
            <w:r w:rsidR="00B81769">
              <w:rPr>
                <w:iCs/>
                <w:szCs w:val="24"/>
              </w:rPr>
              <w:t>2</w:t>
            </w:r>
            <w:r>
              <w:rPr>
                <w:iCs/>
                <w:szCs w:val="24"/>
              </w:rPr>
              <w:t xml:space="preserve">. </w:t>
            </w:r>
            <w:r w:rsidR="00B70EE9" w:rsidRPr="00B70EE9">
              <w:rPr>
                <w:iCs/>
                <w:szCs w:val="24"/>
              </w:rPr>
              <w:t>JP projekto vykdytojas privalo įgyvendindamas JP projektą pasiekti paraiškoje numatytus rezultatus ir prisidėti prie jungtinio projekto siekiamų stebėsenos rodiklių, kurie nurodyti Apraše, ir laikytis Apraše, Projektų taisyklėse, kvietime teikti paraiškas finansuoti JP projektus ir JP projektų vykdytojui nustatytų reikalavimų.</w:t>
            </w:r>
          </w:p>
          <w:p w14:paraId="585C7817" w14:textId="22ACDF2A" w:rsidR="00B70EE9" w:rsidRPr="00B70EE9" w:rsidRDefault="00B81769" w:rsidP="00B70EE9">
            <w:pPr>
              <w:jc w:val="both"/>
              <w:rPr>
                <w:iCs/>
                <w:szCs w:val="24"/>
              </w:rPr>
            </w:pPr>
            <w:r>
              <w:rPr>
                <w:iCs/>
                <w:szCs w:val="24"/>
              </w:rPr>
              <w:t xml:space="preserve">6.13. </w:t>
            </w:r>
            <w:r w:rsidR="00B70EE9" w:rsidRPr="00B70EE9">
              <w:rPr>
                <w:iCs/>
                <w:szCs w:val="24"/>
              </w:rPr>
              <w:t>Kartu su paraiška JP projekto pareiškėjas turi pateikti šiuos priedus lietuvių kalba:</w:t>
            </w:r>
          </w:p>
          <w:p w14:paraId="6E77DE33" w14:textId="6C385EAB" w:rsidR="00B70EE9" w:rsidRPr="00B70EE9" w:rsidRDefault="00B81769" w:rsidP="00B70EE9">
            <w:pPr>
              <w:jc w:val="both"/>
              <w:rPr>
                <w:iCs/>
                <w:szCs w:val="24"/>
              </w:rPr>
            </w:pPr>
            <w:r>
              <w:rPr>
                <w:iCs/>
                <w:szCs w:val="24"/>
              </w:rPr>
              <w:lastRenderedPageBreak/>
              <w:t>6.1</w:t>
            </w:r>
            <w:r w:rsidR="00784D2C">
              <w:rPr>
                <w:iCs/>
                <w:szCs w:val="24"/>
              </w:rPr>
              <w:t>3</w:t>
            </w:r>
            <w:r>
              <w:rPr>
                <w:iCs/>
                <w:szCs w:val="24"/>
              </w:rPr>
              <w:t>.</w:t>
            </w:r>
            <w:r w:rsidR="00784D2C">
              <w:rPr>
                <w:iCs/>
                <w:szCs w:val="24"/>
              </w:rPr>
              <w:t>1</w:t>
            </w:r>
            <w:r w:rsidR="00F96EF1">
              <w:rPr>
                <w:iCs/>
                <w:szCs w:val="24"/>
              </w:rPr>
              <w:t>.</w:t>
            </w:r>
            <w:r>
              <w:rPr>
                <w:iCs/>
                <w:szCs w:val="24"/>
              </w:rPr>
              <w:t xml:space="preserve"> </w:t>
            </w:r>
            <w:r w:rsidR="00B70EE9" w:rsidRPr="00B70EE9">
              <w:rPr>
                <w:iCs/>
                <w:szCs w:val="24"/>
              </w:rPr>
              <w:t xml:space="preserve">dokumentus, pagrindžiančius mokymo programos, pagal kurią bus įgyvendinamas mokymas pameistrystės forma, atitikimą Aprašo </w:t>
            </w:r>
            <w:r w:rsidR="00CE2FAC">
              <w:rPr>
                <w:iCs/>
                <w:szCs w:val="24"/>
              </w:rPr>
              <w:t>4.2.1.2.</w:t>
            </w:r>
            <w:r w:rsidR="001E65B5">
              <w:rPr>
                <w:iCs/>
                <w:szCs w:val="24"/>
              </w:rPr>
              <w:t xml:space="preserve"> </w:t>
            </w:r>
            <w:r w:rsidR="00B70EE9" w:rsidRPr="00B70EE9">
              <w:rPr>
                <w:iCs/>
                <w:szCs w:val="24"/>
              </w:rPr>
              <w:t>papunkčiui;</w:t>
            </w:r>
          </w:p>
          <w:p w14:paraId="07942E30" w14:textId="7DEDD532" w:rsidR="00B70EE9" w:rsidRPr="00B70EE9" w:rsidRDefault="00F96EF1" w:rsidP="00B70EE9">
            <w:pPr>
              <w:jc w:val="both"/>
              <w:rPr>
                <w:iCs/>
                <w:szCs w:val="24"/>
              </w:rPr>
            </w:pPr>
            <w:r>
              <w:rPr>
                <w:iCs/>
                <w:szCs w:val="24"/>
              </w:rPr>
              <w:t>6.13.</w:t>
            </w:r>
            <w:r w:rsidR="003F3F26">
              <w:rPr>
                <w:iCs/>
                <w:szCs w:val="24"/>
              </w:rPr>
              <w:t>2</w:t>
            </w:r>
            <w:r>
              <w:rPr>
                <w:iCs/>
                <w:szCs w:val="24"/>
              </w:rPr>
              <w:t>.</w:t>
            </w:r>
            <w:r w:rsidRPr="00B70EE9" w:rsidDel="00F96EF1">
              <w:rPr>
                <w:iCs/>
                <w:szCs w:val="24"/>
              </w:rPr>
              <w:t xml:space="preserve"> </w:t>
            </w:r>
            <w:r w:rsidR="00B70EE9" w:rsidRPr="00B70EE9">
              <w:rPr>
                <w:iCs/>
                <w:szCs w:val="24"/>
              </w:rPr>
              <w:t xml:space="preserve">partnerystės tarp profesinio mokymo įstaigos ir įmonės sutartį (toliau – Bendradarbiavimo sutartis), siekiant pagrįsti atitikimą Aprašo </w:t>
            </w:r>
            <w:r w:rsidR="00BC6B80" w:rsidRPr="00746744">
              <w:rPr>
                <w:szCs w:val="24"/>
              </w:rPr>
              <w:t>13.2.</w:t>
            </w:r>
            <w:r w:rsidR="00BC6B80">
              <w:rPr>
                <w:szCs w:val="24"/>
              </w:rPr>
              <w:t xml:space="preserve"> </w:t>
            </w:r>
            <w:r w:rsidR="00B70EE9" w:rsidRPr="00B70EE9">
              <w:rPr>
                <w:iCs/>
                <w:szCs w:val="24"/>
              </w:rPr>
              <w:t>papunktyje įvardintam specialiajam projektų atrankos kriterijui Nr. 1 „Profesinio mokymo įstaiga, projekte įgyvendindama profesinį mokymą, organizuojamą pameistrystės forma, bendradarbiauja su įmone ar įmonėmis“. Bendradarbiavimo sutartyje turi būti nurodomas mokymo programos pavadinimas ir kodas, mokymo pameistrystės forma trukmė (valandų/kreditų skaičius), pameistrių skaičius. Rekomenduojama Bendradarbiavimo sutarties forma pateikiama Aprašo 2 priede;</w:t>
            </w:r>
          </w:p>
          <w:p w14:paraId="5ABC8B07" w14:textId="76CC88CC" w:rsidR="00B70EE9" w:rsidRPr="00B70EE9" w:rsidRDefault="003F3F26" w:rsidP="00B70EE9">
            <w:pPr>
              <w:jc w:val="both"/>
              <w:rPr>
                <w:iCs/>
                <w:szCs w:val="24"/>
              </w:rPr>
            </w:pPr>
            <w:r>
              <w:rPr>
                <w:iCs/>
                <w:szCs w:val="24"/>
              </w:rPr>
              <w:t xml:space="preserve">6.13.3. </w:t>
            </w:r>
            <w:r w:rsidR="00B70EE9" w:rsidRPr="00B70EE9">
              <w:rPr>
                <w:iCs/>
                <w:szCs w:val="24"/>
              </w:rPr>
              <w:t>Aprašo 5 priedą „Vienos įmonės“ deklaraciją;</w:t>
            </w:r>
          </w:p>
          <w:p w14:paraId="0E2E701A" w14:textId="1FA8E077" w:rsidR="00B70EE9" w:rsidRPr="00B70EE9" w:rsidRDefault="003F3F26" w:rsidP="00B70EE9">
            <w:pPr>
              <w:jc w:val="both"/>
              <w:rPr>
                <w:iCs/>
                <w:szCs w:val="24"/>
              </w:rPr>
            </w:pPr>
            <w:r>
              <w:rPr>
                <w:iCs/>
                <w:szCs w:val="24"/>
              </w:rPr>
              <w:t xml:space="preserve">6.13.4. </w:t>
            </w:r>
            <w:r w:rsidR="00B70EE9" w:rsidRPr="00B70EE9">
              <w:rPr>
                <w:iCs/>
                <w:szCs w:val="24"/>
              </w:rPr>
              <w:t>įmonės, kuri planuoja dalyvauti JP projekto veiklose, SVV deklaraciją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w:t>
            </w:r>
          </w:p>
          <w:p w14:paraId="0C57BB7F" w14:textId="4F928D67" w:rsidR="00854253" w:rsidRDefault="003F3F26" w:rsidP="00B70EE9">
            <w:pPr>
              <w:jc w:val="both"/>
              <w:rPr>
                <w:iCs/>
                <w:szCs w:val="24"/>
              </w:rPr>
            </w:pPr>
            <w:r>
              <w:rPr>
                <w:iCs/>
                <w:szCs w:val="24"/>
              </w:rPr>
              <w:t xml:space="preserve">6.13.5. </w:t>
            </w:r>
            <w:r w:rsidR="00B70EE9" w:rsidRPr="00B70EE9">
              <w:rPr>
                <w:iCs/>
                <w:szCs w:val="24"/>
              </w:rPr>
              <w:t xml:space="preserve">Aprašo 3 priedą, kuriame nurodoma informacija apie projekto biudžeto paskirstymą profesinio mokymo įstaigai ir įmonei, siekiant nustatyti galimą de </w:t>
            </w:r>
            <w:proofErr w:type="spellStart"/>
            <w:r w:rsidR="00B70EE9" w:rsidRPr="00B70EE9">
              <w:rPr>
                <w:iCs/>
                <w:szCs w:val="24"/>
              </w:rPr>
              <w:t>minimis</w:t>
            </w:r>
            <w:proofErr w:type="spellEnd"/>
            <w:r w:rsidR="00B70EE9" w:rsidRPr="00B70EE9">
              <w:rPr>
                <w:iCs/>
                <w:szCs w:val="24"/>
              </w:rPr>
              <w:t xml:space="preserve"> sumą, tenkančią įmonei.</w:t>
            </w:r>
          </w:p>
          <w:p w14:paraId="1B6F6691" w14:textId="271F3127" w:rsidR="009B4151" w:rsidRPr="009B4151" w:rsidRDefault="00736E9D" w:rsidP="009B4151">
            <w:pPr>
              <w:jc w:val="both"/>
              <w:rPr>
                <w:iCs/>
                <w:szCs w:val="24"/>
              </w:rPr>
            </w:pPr>
            <w:r>
              <w:rPr>
                <w:iCs/>
                <w:szCs w:val="24"/>
              </w:rPr>
              <w:t xml:space="preserve">6.14. </w:t>
            </w:r>
            <w:r w:rsidR="009B4151" w:rsidRPr="009B4151">
              <w:rPr>
                <w:iCs/>
                <w:szCs w:val="24"/>
              </w:rPr>
              <w:t>JP projekto paraiškos vertinimo metu jungtinio projekto vykdytojas (t. y. ESFA) remdamasis Projektų taisyklių 262 punktu gali paprašyti JP projekto pareiškėjo pateikti trūkstamą informaciją ir (arba) dokumentus, taip pat pateikti kartu su paraiška pateiktoje SVV deklaracijoje ir „Vienos įmonės“ deklaracijoje nurodytų susijusių įmonių paskutinių finansinių metų metinių finansinių ataskaitų rinkinius (netaikoma, jeigu susijusios įmonės yra pateikusios metinių finansinių ataskaitų rinkinius Juridinių asmenų registrui). JP projekto pareiškėjas privalo pateikti šią informaciją ir (arba) dokumentus per jungtinio projekto vykdytojo (t. y. ESFA) nustatytą terminą.</w:t>
            </w:r>
          </w:p>
          <w:p w14:paraId="4AAD872C" w14:textId="72AD5CFD" w:rsidR="009B4151" w:rsidRPr="004B229B" w:rsidRDefault="00736E9D" w:rsidP="009B4151">
            <w:pPr>
              <w:jc w:val="both"/>
              <w:rPr>
                <w:iCs/>
                <w:szCs w:val="24"/>
              </w:rPr>
            </w:pPr>
            <w:r>
              <w:rPr>
                <w:iCs/>
                <w:szCs w:val="24"/>
              </w:rPr>
              <w:t xml:space="preserve">6.15. </w:t>
            </w:r>
            <w:r w:rsidR="009B4151" w:rsidRPr="009B4151">
              <w:rPr>
                <w:iCs/>
                <w:szCs w:val="24"/>
              </w:rPr>
              <w:t>Jeigu JP projekto paraiškos vertinimo metu Atvirų duomenų skelbiamoje informacijoje nėra įtraukti reikiami duomenys arba JP projekto paraiškos įvertinimui trūksta informacijos ir (arba) dokumentų, jungtinio projekto vykdytojas (t. y. ESFA) gali paprašyti JP projekto pareiškėjo per nurodytą terminą pateikti reikiamą informaciją ir dokumentus.</w:t>
            </w:r>
          </w:p>
        </w:tc>
      </w:tr>
      <w:tr w:rsidR="001A3288" w:rsidRPr="004B229B" w14:paraId="65ACC630" w14:textId="77777777" w:rsidTr="00561B47">
        <w:trPr>
          <w:trHeight w:val="336"/>
        </w:trPr>
        <w:tc>
          <w:tcPr>
            <w:tcW w:w="15452" w:type="dxa"/>
          </w:tcPr>
          <w:p w14:paraId="3A8399B7" w14:textId="57986599" w:rsidR="001A3288" w:rsidRPr="004B229B" w:rsidRDefault="00532D2A" w:rsidP="001A3288">
            <w:pPr>
              <w:jc w:val="both"/>
              <w:rPr>
                <w:b/>
                <w:iCs/>
                <w:szCs w:val="24"/>
              </w:rPr>
            </w:pPr>
            <w:r>
              <w:rPr>
                <w:b/>
                <w:iCs/>
                <w:szCs w:val="24"/>
              </w:rPr>
              <w:lastRenderedPageBreak/>
              <w:t>7.</w:t>
            </w:r>
            <w:r w:rsidR="001A3288" w:rsidRPr="004B229B">
              <w:rPr>
                <w:b/>
                <w:iCs/>
                <w:szCs w:val="24"/>
              </w:rPr>
              <w:t xml:space="preserve"> Projekto tikslinės grupės</w:t>
            </w:r>
          </w:p>
        </w:tc>
      </w:tr>
      <w:tr w:rsidR="001A3288" w:rsidRPr="004B229B" w14:paraId="4C891120" w14:textId="77777777" w:rsidTr="00561B47">
        <w:trPr>
          <w:trHeight w:val="278"/>
        </w:trPr>
        <w:tc>
          <w:tcPr>
            <w:tcW w:w="15452" w:type="dxa"/>
          </w:tcPr>
          <w:p w14:paraId="1A1FAEFE" w14:textId="0C1A0AA9" w:rsidR="005D104B" w:rsidRPr="00EC5314" w:rsidRDefault="00B22245" w:rsidP="0019565E">
            <w:pPr>
              <w:jc w:val="both"/>
              <w:rPr>
                <w:iCs/>
                <w:szCs w:val="24"/>
              </w:rPr>
            </w:pPr>
            <w:r w:rsidRPr="00EC5314">
              <w:rPr>
                <w:iCs/>
                <w:szCs w:val="24"/>
              </w:rPr>
              <w:t xml:space="preserve">7.1. </w:t>
            </w:r>
            <w:r w:rsidRPr="00EC5314">
              <w:rPr>
                <w:szCs w:val="24"/>
              </w:rPr>
              <w:t>Tinkama projekto tikslinė grupė – profesinio mokymo įstaigų mokiniai, pameistrį priimančių įmonių darbuotojai.</w:t>
            </w:r>
            <w:r w:rsidR="00CB5687" w:rsidRPr="00EC5314">
              <w:rPr>
                <w:iCs/>
                <w:szCs w:val="24"/>
              </w:rPr>
              <w:t xml:space="preserve"> </w:t>
            </w:r>
          </w:p>
        </w:tc>
      </w:tr>
      <w:tr w:rsidR="00854253" w:rsidRPr="004B229B" w14:paraId="49EDE144" w14:textId="77777777" w:rsidTr="00561B47">
        <w:trPr>
          <w:trHeight w:val="285"/>
        </w:trPr>
        <w:tc>
          <w:tcPr>
            <w:tcW w:w="15452" w:type="dxa"/>
          </w:tcPr>
          <w:p w14:paraId="4ED7DAB3" w14:textId="15473524" w:rsidR="00854253" w:rsidRPr="004B229B" w:rsidRDefault="00F44079">
            <w:pPr>
              <w:rPr>
                <w:sz w:val="22"/>
                <w:szCs w:val="22"/>
              </w:rPr>
            </w:pPr>
            <w:r>
              <w:rPr>
                <w:b/>
                <w:szCs w:val="24"/>
              </w:rPr>
              <w:t>8.</w:t>
            </w:r>
            <w:r w:rsidR="00DD0E26" w:rsidRPr="004B229B">
              <w:rPr>
                <w:b/>
                <w:szCs w:val="24"/>
              </w:rPr>
              <w:t xml:space="preserve"> </w:t>
            </w:r>
            <w:r w:rsidR="0018209F" w:rsidRPr="004B229B">
              <w:rPr>
                <w:b/>
                <w:szCs w:val="24"/>
              </w:rPr>
              <w:t xml:space="preserve">Horizontaliųjų principų </w:t>
            </w:r>
            <w:r w:rsidR="00DD0E26" w:rsidRPr="004B229B">
              <w:rPr>
                <w:b/>
                <w:szCs w:val="24"/>
              </w:rPr>
              <w:t xml:space="preserve">(toliau – HP) </w:t>
            </w:r>
            <w:r w:rsidR="0018209F" w:rsidRPr="004B229B">
              <w:rPr>
                <w:b/>
                <w:szCs w:val="24"/>
              </w:rPr>
              <w:t>reikalavimai</w:t>
            </w:r>
          </w:p>
        </w:tc>
      </w:tr>
      <w:tr w:rsidR="00854253" w:rsidRPr="004B229B" w14:paraId="6BC56EAF" w14:textId="77777777" w:rsidTr="00561B47">
        <w:tc>
          <w:tcPr>
            <w:tcW w:w="15452" w:type="dxa"/>
          </w:tcPr>
          <w:p w14:paraId="45E7B82F" w14:textId="4BCC0B41" w:rsidR="00854253" w:rsidRPr="004B229B" w:rsidRDefault="00376F4B">
            <w:pPr>
              <w:tabs>
                <w:tab w:val="left" w:pos="675"/>
              </w:tabs>
              <w:ind w:left="22" w:hanging="22"/>
              <w:jc w:val="both"/>
              <w:rPr>
                <w:b/>
              </w:rPr>
            </w:pPr>
            <w:r>
              <w:rPr>
                <w:b/>
              </w:rPr>
              <w:t>8.1.</w:t>
            </w:r>
            <w:r w:rsidR="0018209F" w:rsidRPr="004B229B">
              <w:rPr>
                <w:b/>
                <w:bCs/>
              </w:rPr>
              <w:t xml:space="preserve"> </w:t>
            </w:r>
            <w:r w:rsidR="0018209F" w:rsidRPr="004B229B">
              <w:rPr>
                <w:b/>
              </w:rPr>
              <w:t xml:space="preserve">Projektuose negali būti numatyta: </w:t>
            </w:r>
          </w:p>
          <w:p w14:paraId="6D04AE75" w14:textId="4F87C439" w:rsidR="00B85D52" w:rsidRDefault="0067773A" w:rsidP="00B85D52">
            <w:pPr>
              <w:jc w:val="both"/>
            </w:pPr>
            <w:r>
              <w:t xml:space="preserve">8.1.1. </w:t>
            </w:r>
            <w:r w:rsidR="00B85D52">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67A5C034" w14:textId="267F9986" w:rsidR="00B85D52" w:rsidRDefault="0067773A" w:rsidP="00B85D52">
            <w:pPr>
              <w:jc w:val="both"/>
            </w:pPr>
            <w:r>
              <w:t>8.1.2.</w:t>
            </w:r>
            <w:r w:rsidR="00B85D52">
              <w:t xml:space="preserve"> Projektuose neturi būti numatyti veiksmai, kurie turėtų neigiamą poveikį darnaus vystymosi principui įgyvendinti.</w:t>
            </w:r>
          </w:p>
          <w:p w14:paraId="5CCB74EA" w14:textId="083162DB" w:rsidR="00B85D52" w:rsidRDefault="0067773A" w:rsidP="00B85D52">
            <w:pPr>
              <w:jc w:val="both"/>
            </w:pPr>
            <w:r>
              <w:t xml:space="preserve">8.1.3. </w:t>
            </w:r>
            <w:r w:rsidR="00B85D52">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jungtinį projektą) atitikties reikšmingos žalos nedarymo HP vertinimo reikalavimai pateikiami Aprašo 1 priede „Projekto (įskaitant jungtinį projektą) atitikties reikšmingos žalos nedarymo horizontaliajam principui vertinimo reikalavimų aprašas“.</w:t>
            </w:r>
          </w:p>
          <w:p w14:paraId="04510FAD" w14:textId="69AA0F5F" w:rsidR="00B85D52" w:rsidRDefault="0067773A" w:rsidP="00B85D52">
            <w:pPr>
              <w:jc w:val="both"/>
            </w:pPr>
            <w:r>
              <w:lastRenderedPageBreak/>
              <w:t xml:space="preserve">8.1.4. </w:t>
            </w:r>
            <w:r w:rsidR="00B85D52">
              <w:t xml:space="preserve">Jungtinio projekto vykdytojas ir JP projektų vykdytojai turi užtikrinti, kad projektų veiklomis būtų aktyviai prisidedama prie darnaus vystymosi ir lygių galimybių visiems horizontaliųjų principų įgyvendinimo: prieš įgyvendinant Aprašo 2.4 veiklą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0A655047" w14:textId="3C1CA8F9" w:rsidR="00854253" w:rsidRPr="004B229B" w:rsidRDefault="0067773A" w:rsidP="00B85D52">
            <w:pPr>
              <w:jc w:val="both"/>
              <w:rPr>
                <w:iCs/>
                <w:szCs w:val="24"/>
              </w:rPr>
            </w:pPr>
            <w:r>
              <w:t xml:space="preserve">8.1.5. </w:t>
            </w:r>
            <w:r w:rsidR="00B85D52">
              <w:t>Tikslinės grupės asmens duomenys tvarkomi laikantis Bendrojo duomenų apsaugos reglamento[1]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sidR="0018209F" w:rsidRPr="004B229B">
              <w:tab/>
            </w:r>
          </w:p>
        </w:tc>
      </w:tr>
      <w:tr w:rsidR="00854253" w:rsidRPr="004B229B" w14:paraId="3BC6864D" w14:textId="77777777" w:rsidTr="00561B47">
        <w:tc>
          <w:tcPr>
            <w:tcW w:w="15452" w:type="dxa"/>
          </w:tcPr>
          <w:p w14:paraId="103426F0" w14:textId="475AE488" w:rsidR="00854253" w:rsidRPr="004B229B" w:rsidRDefault="002D1DA3">
            <w:pPr>
              <w:spacing w:line="259" w:lineRule="auto"/>
              <w:jc w:val="both"/>
              <w:rPr>
                <w:b/>
                <w:iCs/>
                <w:szCs w:val="24"/>
              </w:rPr>
            </w:pPr>
            <w:r>
              <w:rPr>
                <w:b/>
                <w:iCs/>
                <w:szCs w:val="24"/>
              </w:rPr>
              <w:lastRenderedPageBreak/>
              <w:t>9.</w:t>
            </w:r>
            <w:r w:rsidR="00DD0E26" w:rsidRPr="00234CC2">
              <w:rPr>
                <w:b/>
                <w:iCs/>
                <w:szCs w:val="24"/>
              </w:rPr>
              <w:t xml:space="preserve"> </w:t>
            </w:r>
            <w:r w:rsidR="0018209F" w:rsidRPr="00234CC2">
              <w:rPr>
                <w:b/>
                <w:iCs/>
                <w:szCs w:val="24"/>
              </w:rPr>
              <w:t xml:space="preserve"> Europos Sąjungos pagrindinių teisių chartijos (toliau – Chartija) reikalavimai</w:t>
            </w:r>
          </w:p>
        </w:tc>
      </w:tr>
      <w:tr w:rsidR="00854253" w:rsidRPr="004B229B" w14:paraId="0AA41474" w14:textId="77777777" w:rsidTr="00561B47">
        <w:tc>
          <w:tcPr>
            <w:tcW w:w="15452" w:type="dxa"/>
          </w:tcPr>
          <w:p w14:paraId="610F1409" w14:textId="328B1CCB" w:rsidR="00C96B3B" w:rsidRPr="00C96B3B" w:rsidRDefault="006C1E6F" w:rsidP="00C96B3B">
            <w:pPr>
              <w:jc w:val="both"/>
              <w:rPr>
                <w:iCs/>
                <w:szCs w:val="24"/>
              </w:rPr>
            </w:pPr>
            <w:r>
              <w:rPr>
                <w:iCs/>
                <w:szCs w:val="24"/>
              </w:rPr>
              <w:t xml:space="preserve">9.1. </w:t>
            </w:r>
            <w:r w:rsidR="00C96B3B" w:rsidRPr="00C96B3B">
              <w:rPr>
                <w:iCs/>
                <w:szCs w:val="24"/>
              </w:rPr>
              <w:t xml:space="preserve">Projektuose neturi būti numatyti veiksmai, kurie galėtų riboti ar pažeisti Chartijoje numatytas pagrindines teises. </w:t>
            </w:r>
          </w:p>
          <w:p w14:paraId="4A1B0BE4" w14:textId="06637FD9" w:rsidR="00854253" w:rsidRPr="004B229B" w:rsidRDefault="00C96B3B" w:rsidP="00C96B3B">
            <w:pPr>
              <w:jc w:val="both"/>
              <w:rPr>
                <w:iCs/>
                <w:szCs w:val="24"/>
              </w:rPr>
            </w:pPr>
            <w:r>
              <w:rPr>
                <w:iCs/>
                <w:szCs w:val="24"/>
              </w:rPr>
              <w:t xml:space="preserve">9.2. </w:t>
            </w:r>
            <w:r w:rsidRPr="00C96B3B">
              <w:rPr>
                <w:iCs/>
                <w:szCs w:val="24"/>
              </w:rPr>
              <w:t xml:space="preserve">Jungtinio projekto vykdytojas (t. y. ESFA), vykdydamas Apraše remiamą veiklą, privalo įsitikinti  projekto dalyvio priklausymu tikslinei grupei pagal Aprašo </w:t>
            </w:r>
            <w:r w:rsidR="001E6A78" w:rsidRPr="007D4864">
              <w:rPr>
                <w:iCs/>
                <w:szCs w:val="24"/>
              </w:rPr>
              <w:t xml:space="preserve">7.1. </w:t>
            </w:r>
            <w:r w:rsidRPr="007D4864">
              <w:rPr>
                <w:iCs/>
                <w:szCs w:val="24"/>
              </w:rPr>
              <w:t xml:space="preserve">ir </w:t>
            </w:r>
            <w:r w:rsidR="003C3B6C" w:rsidRPr="007D4864">
              <w:rPr>
                <w:iCs/>
                <w:szCs w:val="24"/>
              </w:rPr>
              <w:t>6.3.</w:t>
            </w:r>
            <w:r w:rsidR="003C3B6C" w:rsidRPr="00AC2FE8">
              <w:rPr>
                <w:iCs/>
                <w:szCs w:val="24"/>
              </w:rPr>
              <w:t xml:space="preserve"> </w:t>
            </w:r>
            <w:r w:rsidRPr="00AC2FE8">
              <w:rPr>
                <w:iCs/>
                <w:szCs w:val="24"/>
              </w:rPr>
              <w:t>papunkči</w:t>
            </w:r>
            <w:r w:rsidR="003C3B6C" w:rsidRPr="00AC2FE8">
              <w:rPr>
                <w:iCs/>
                <w:szCs w:val="24"/>
              </w:rPr>
              <w:t>ų</w:t>
            </w:r>
            <w:r w:rsidRPr="00C96B3B">
              <w:rPr>
                <w:iCs/>
                <w:szCs w:val="24"/>
              </w:rPr>
              <w:t xml:space="preserve"> reikalavimus ir teisės aktų nustatyta tvarka turi teisę gauti dalyvio asmens duomenis, kurie valdomi Lietuvos Respublikos valstybės institucijų registruose ir (ar) informacinėse sistemose (pvz., Valstybinio socialinio draudimo fondo valdybos prie Socialinės apsaugos ir darbo ministerijos, Nacionalinės švietimo agentūros  ir kt.).</w:t>
            </w:r>
          </w:p>
        </w:tc>
      </w:tr>
      <w:tr w:rsidR="00054C12" w:rsidRPr="004B229B" w14:paraId="631906F5" w14:textId="77777777" w:rsidTr="00561B47">
        <w:tc>
          <w:tcPr>
            <w:tcW w:w="15452" w:type="dxa"/>
          </w:tcPr>
          <w:p w14:paraId="0BDAC736" w14:textId="73806362" w:rsidR="00054C12" w:rsidRDefault="00CA0B5A">
            <w:pPr>
              <w:jc w:val="both"/>
              <w:rPr>
                <w:iCs/>
                <w:szCs w:val="24"/>
              </w:rPr>
            </w:pPr>
            <w:r w:rsidRPr="00CA0B5A">
              <w:rPr>
                <w:b/>
                <w:bCs/>
                <w:iCs/>
                <w:szCs w:val="24"/>
              </w:rPr>
              <w:t>9</w:t>
            </w:r>
            <w:r w:rsidRPr="00CA0B5A">
              <w:rPr>
                <w:b/>
                <w:bCs/>
                <w:iCs/>
                <w:szCs w:val="24"/>
                <w:vertAlign w:val="superscript"/>
              </w:rPr>
              <w:t>1</w:t>
            </w:r>
            <w:r w:rsidRPr="00CA0B5A">
              <w:rPr>
                <w:b/>
                <w:bCs/>
                <w:iCs/>
                <w:szCs w:val="24"/>
              </w:rPr>
              <w:t>. Projekto prisidėjimas prie Europos Sąjungos Baltijos jūros regiono strategijos įgyvendinimo</w:t>
            </w:r>
          </w:p>
        </w:tc>
      </w:tr>
      <w:tr w:rsidR="00054C12" w:rsidRPr="004B229B" w14:paraId="0815065E" w14:textId="77777777" w:rsidTr="00561B47">
        <w:tc>
          <w:tcPr>
            <w:tcW w:w="15452" w:type="dxa"/>
          </w:tcPr>
          <w:p w14:paraId="4880965B" w14:textId="04C2330E" w:rsidR="00054C12" w:rsidRDefault="00FC6487">
            <w:pPr>
              <w:jc w:val="both"/>
              <w:rPr>
                <w:iCs/>
                <w:szCs w:val="24"/>
              </w:rPr>
            </w:pPr>
            <w:r w:rsidRPr="00591F62">
              <w:rPr>
                <w:iCs/>
                <w:szCs w:val="24"/>
              </w:rPr>
              <w:t>9</w:t>
            </w:r>
            <w:r w:rsidRPr="00591F62">
              <w:rPr>
                <w:iCs/>
                <w:szCs w:val="24"/>
                <w:vertAlign w:val="superscript"/>
              </w:rPr>
              <w:t>1</w:t>
            </w:r>
            <w:r w:rsidRPr="00FC6487">
              <w:rPr>
                <w:iCs/>
                <w:szCs w:val="24"/>
              </w:rPr>
              <w:t>1.</w:t>
            </w:r>
            <w:r>
              <w:rPr>
                <w:iCs/>
                <w:szCs w:val="24"/>
              </w:rPr>
              <w:t xml:space="preserve"> Netaikoma.</w:t>
            </w:r>
          </w:p>
        </w:tc>
      </w:tr>
      <w:tr w:rsidR="00854253" w:rsidRPr="004B229B" w14:paraId="588254A5" w14:textId="77777777" w:rsidTr="00561B47">
        <w:tc>
          <w:tcPr>
            <w:tcW w:w="15452" w:type="dxa"/>
          </w:tcPr>
          <w:p w14:paraId="53B16BD3" w14:textId="04FE0A27" w:rsidR="00854253" w:rsidRPr="004B229B" w:rsidRDefault="002D1DA3">
            <w:pPr>
              <w:rPr>
                <w:b/>
                <w:szCs w:val="24"/>
              </w:rPr>
            </w:pPr>
            <w:r>
              <w:rPr>
                <w:b/>
                <w:szCs w:val="24"/>
              </w:rPr>
              <w:t>10.</w:t>
            </w:r>
            <w:r w:rsidR="00DD0E26" w:rsidRPr="004B229B">
              <w:rPr>
                <w:b/>
                <w:szCs w:val="24"/>
              </w:rPr>
              <w:t xml:space="preserve"> </w:t>
            </w:r>
            <w:r w:rsidR="0018209F" w:rsidRPr="004B229B">
              <w:rPr>
                <w:b/>
                <w:szCs w:val="24"/>
              </w:rPr>
              <w:t xml:space="preserve"> Apskritis, kurioje gali būti įgyvendinami projektai</w:t>
            </w:r>
          </w:p>
        </w:tc>
      </w:tr>
      <w:tr w:rsidR="00854253" w:rsidRPr="004B229B" w14:paraId="6D518CF5" w14:textId="77777777" w:rsidTr="00561B47">
        <w:trPr>
          <w:trHeight w:val="410"/>
        </w:trPr>
        <w:tc>
          <w:tcPr>
            <w:tcW w:w="15452" w:type="dxa"/>
          </w:tcPr>
          <w:p w14:paraId="1AF6135D" w14:textId="77286EE2" w:rsidR="00854253" w:rsidRPr="004B229B" w:rsidRDefault="002D1DA3">
            <w:pPr>
              <w:jc w:val="both"/>
              <w:rPr>
                <w:szCs w:val="24"/>
              </w:rPr>
            </w:pPr>
            <w:r>
              <w:rPr>
                <w:szCs w:val="24"/>
              </w:rPr>
              <w:t>10.1.</w:t>
            </w:r>
            <w:r w:rsidR="00802218">
              <w:t xml:space="preserve"> </w:t>
            </w:r>
            <w:r w:rsidR="00802218" w:rsidRPr="007D4864">
              <w:rPr>
                <w:szCs w:val="24"/>
              </w:rPr>
              <w:t>Ekonomikos gaivinimo ir atsparumo didinimo plano lėšomis finansuojamiems projektas šis punktas netaikomas.</w:t>
            </w:r>
          </w:p>
        </w:tc>
      </w:tr>
      <w:tr w:rsidR="00854253" w:rsidRPr="004B229B" w14:paraId="56D176B1" w14:textId="77777777" w:rsidTr="00561B47">
        <w:tc>
          <w:tcPr>
            <w:tcW w:w="15452" w:type="dxa"/>
          </w:tcPr>
          <w:p w14:paraId="6C99795B" w14:textId="20D83E5B" w:rsidR="00854253" w:rsidRPr="004B229B" w:rsidRDefault="00825712">
            <w:pPr>
              <w:jc w:val="both"/>
              <w:rPr>
                <w:b/>
                <w:szCs w:val="24"/>
              </w:rPr>
            </w:pPr>
            <w:r>
              <w:rPr>
                <w:b/>
                <w:szCs w:val="24"/>
              </w:rPr>
              <w:t>11.</w:t>
            </w:r>
            <w:r w:rsidR="00DD0E26" w:rsidRPr="004B229B">
              <w:rPr>
                <w:b/>
                <w:szCs w:val="24"/>
              </w:rPr>
              <w:t xml:space="preserve"> </w:t>
            </w:r>
            <w:r w:rsidR="0018209F" w:rsidRPr="004B229B">
              <w:rPr>
                <w:b/>
                <w:szCs w:val="24"/>
              </w:rPr>
              <w:t xml:space="preserve"> Reikalavimai valstybės pagalbai </w:t>
            </w:r>
            <w:r w:rsidR="00DD0E26" w:rsidRPr="004B229B">
              <w:rPr>
                <w:b/>
                <w:szCs w:val="24"/>
              </w:rPr>
              <w:t>(kurie nėra nurodyti kituose Aprašo punktuose)</w:t>
            </w:r>
          </w:p>
        </w:tc>
      </w:tr>
      <w:tr w:rsidR="00854253" w:rsidRPr="004B229B" w14:paraId="2B952156" w14:textId="77777777" w:rsidTr="00561B47">
        <w:tc>
          <w:tcPr>
            <w:tcW w:w="15452" w:type="dxa"/>
          </w:tcPr>
          <w:p w14:paraId="1575F703" w14:textId="01CD7037" w:rsidR="00645BF6" w:rsidRPr="00645BF6" w:rsidRDefault="00162C7C" w:rsidP="00645BF6">
            <w:pPr>
              <w:jc w:val="both"/>
              <w:rPr>
                <w:iCs/>
                <w:szCs w:val="24"/>
              </w:rPr>
            </w:pPr>
            <w:r>
              <w:rPr>
                <w:iCs/>
                <w:szCs w:val="24"/>
              </w:rPr>
              <w:t>11.1.</w:t>
            </w:r>
            <w:r w:rsidRPr="00645BF6" w:rsidDel="00162C7C">
              <w:rPr>
                <w:iCs/>
                <w:szCs w:val="24"/>
              </w:rPr>
              <w:t xml:space="preserve"> </w:t>
            </w:r>
            <w:r w:rsidR="00645BF6" w:rsidRPr="00645BF6">
              <w:rPr>
                <w:iCs/>
                <w:szCs w:val="24"/>
              </w:rPr>
              <w:t xml:space="preserve">Pagal Aprašą teikiama de </w:t>
            </w:r>
            <w:proofErr w:type="spellStart"/>
            <w:r w:rsidR="00645BF6" w:rsidRPr="00645BF6">
              <w:rPr>
                <w:iCs/>
                <w:szCs w:val="24"/>
              </w:rPr>
              <w:t>minimis</w:t>
            </w:r>
            <w:proofErr w:type="spellEnd"/>
            <w:r w:rsidR="00645BF6" w:rsidRPr="00645BF6">
              <w:rPr>
                <w:iCs/>
                <w:szCs w:val="24"/>
              </w:rPr>
              <w:t xml:space="preserve"> pagalba, kuri atitinka Komisijos reglamento (ES) Nr.  2023/2831 nuostatas. Pagal Komisijos reglamento (ES) Nr.  2023/2831 3 straipsnį, bendra vienam ūkio subjektui ir su juo susijusiems ūkio subjektams suteiktos de </w:t>
            </w:r>
            <w:proofErr w:type="spellStart"/>
            <w:r w:rsidR="00645BF6" w:rsidRPr="00645BF6">
              <w:rPr>
                <w:iCs/>
                <w:szCs w:val="24"/>
              </w:rPr>
              <w:t>minimis</w:t>
            </w:r>
            <w:proofErr w:type="spellEnd"/>
            <w:r w:rsidR="00645BF6" w:rsidRPr="00645BF6">
              <w:rPr>
                <w:iCs/>
                <w:szCs w:val="24"/>
              </w:rPr>
              <w:t xml:space="preserve"> pagalbos suma kiekvienoje valstybėje narėje negali viršyti 300 000,00 EUR (trijų šimtų tūkstančių eurų) per bet kurį trejų finansinių metų laikotarpį ribos</w:t>
            </w:r>
            <w:r w:rsidR="00875A4A">
              <w:rPr>
                <w:iCs/>
                <w:szCs w:val="24"/>
              </w:rPr>
              <w:t>.</w:t>
            </w:r>
          </w:p>
          <w:p w14:paraId="6991E3A9" w14:textId="69814556" w:rsidR="00645BF6" w:rsidRPr="00645BF6" w:rsidRDefault="00162C7C" w:rsidP="00645BF6">
            <w:pPr>
              <w:jc w:val="both"/>
              <w:rPr>
                <w:iCs/>
                <w:szCs w:val="24"/>
              </w:rPr>
            </w:pPr>
            <w:r>
              <w:rPr>
                <w:iCs/>
                <w:szCs w:val="24"/>
              </w:rPr>
              <w:t>11.2.</w:t>
            </w:r>
            <w:r w:rsidRPr="00645BF6" w:rsidDel="00162C7C">
              <w:rPr>
                <w:iCs/>
                <w:szCs w:val="24"/>
              </w:rPr>
              <w:t xml:space="preserve"> </w:t>
            </w:r>
            <w:r w:rsidR="00645BF6" w:rsidRPr="00645BF6">
              <w:rPr>
                <w:iCs/>
                <w:szCs w:val="24"/>
              </w:rPr>
              <w:t xml:space="preserve">Pameistrystės išlaidų, kurios apmokamos pagal Profesinio mokymo pagal pameistrystės formą išlaidų fiksuotųjų vieneto įkainių nustatymo tyrimą, dalis, tenkanti JP projekte dalyvaujančioms įmonėms, kurios pagal Komisijos reglamentą (ES) Nr. 2023/2831 laikomos de </w:t>
            </w:r>
            <w:proofErr w:type="spellStart"/>
            <w:r w:rsidR="00645BF6" w:rsidRPr="00645BF6">
              <w:rPr>
                <w:iCs/>
                <w:szCs w:val="24"/>
              </w:rPr>
              <w:t>minimis</w:t>
            </w:r>
            <w:proofErr w:type="spellEnd"/>
            <w:r w:rsidR="00645BF6" w:rsidRPr="00645BF6">
              <w:rPr>
                <w:iCs/>
                <w:szCs w:val="24"/>
              </w:rPr>
              <w:t xml:space="preserve"> pagalbos gavėjais, tinkama finansuoti tik kaip de </w:t>
            </w:r>
            <w:proofErr w:type="spellStart"/>
            <w:r w:rsidR="00645BF6" w:rsidRPr="00645BF6">
              <w:rPr>
                <w:iCs/>
                <w:szCs w:val="24"/>
              </w:rPr>
              <w:t>minimis</w:t>
            </w:r>
            <w:proofErr w:type="spellEnd"/>
            <w:r w:rsidR="00645BF6" w:rsidRPr="00645BF6">
              <w:rPr>
                <w:iCs/>
                <w:szCs w:val="24"/>
              </w:rPr>
              <w:t xml:space="preserve"> pagalba. </w:t>
            </w:r>
          </w:p>
          <w:p w14:paraId="1CD7C5BB" w14:textId="0A4BE63F" w:rsidR="00645BF6" w:rsidRPr="00645BF6" w:rsidRDefault="00162C7C" w:rsidP="00645BF6">
            <w:pPr>
              <w:jc w:val="both"/>
              <w:rPr>
                <w:iCs/>
                <w:szCs w:val="24"/>
              </w:rPr>
            </w:pPr>
            <w:r>
              <w:rPr>
                <w:iCs/>
                <w:szCs w:val="24"/>
              </w:rPr>
              <w:t>11.3.</w:t>
            </w:r>
            <w:r w:rsidR="00645BF6" w:rsidRPr="00645BF6">
              <w:rPr>
                <w:iCs/>
                <w:szCs w:val="24"/>
              </w:rPr>
              <w:t xml:space="preserve">Aprašo </w:t>
            </w:r>
            <w:r w:rsidR="005A6748" w:rsidRPr="00E56A64">
              <w:rPr>
                <w:iCs/>
                <w:szCs w:val="24"/>
              </w:rPr>
              <w:t>11.2.</w:t>
            </w:r>
            <w:r w:rsidR="00645BF6" w:rsidRPr="00645BF6">
              <w:rPr>
                <w:iCs/>
                <w:szCs w:val="24"/>
              </w:rPr>
              <w:t xml:space="preserve"> papunktyje nurodytos tinkamos finansuoti išlaidos JP projekte dalyvaujančioms įmonėms: viešajam juridiniam asmeniui, privačiajam juridiniam asmeniui, valstybės ir savivaldybės įmonei, kurie yra de </w:t>
            </w:r>
            <w:proofErr w:type="spellStart"/>
            <w:r w:rsidR="00645BF6" w:rsidRPr="00645BF6">
              <w:rPr>
                <w:iCs/>
                <w:szCs w:val="24"/>
              </w:rPr>
              <w:t>minimis</w:t>
            </w:r>
            <w:proofErr w:type="spellEnd"/>
            <w:r w:rsidR="00645BF6" w:rsidRPr="00645BF6">
              <w:rPr>
                <w:iCs/>
                <w:szCs w:val="24"/>
              </w:rPr>
              <w:t xml:space="preserve"> pagalbos gavėjai pagal Komisijos reglamentą (ES) Nr. 2023/2831, finansuojamos kaip de </w:t>
            </w:r>
            <w:proofErr w:type="spellStart"/>
            <w:r w:rsidR="00645BF6" w:rsidRPr="00645BF6">
              <w:rPr>
                <w:iCs/>
                <w:szCs w:val="24"/>
              </w:rPr>
              <w:t>minimis</w:t>
            </w:r>
            <w:proofErr w:type="spellEnd"/>
            <w:r w:rsidR="00645BF6" w:rsidRPr="00645BF6">
              <w:rPr>
                <w:iCs/>
                <w:szCs w:val="24"/>
              </w:rPr>
              <w:t xml:space="preserve"> pagalba pagal Komisijos reglamentą (ES) Nr. 2023/2831 visuose sektoriuose, išskyrus 1 straipsnio 1 dalyje išvardytus sektorius, vadovaujantis šiomis sąlygomis:</w:t>
            </w:r>
          </w:p>
          <w:p w14:paraId="1CC949AA" w14:textId="28D34CAB" w:rsidR="00645BF6" w:rsidRPr="00645BF6" w:rsidRDefault="00316F05" w:rsidP="00645BF6">
            <w:pPr>
              <w:jc w:val="both"/>
              <w:rPr>
                <w:iCs/>
                <w:szCs w:val="24"/>
              </w:rPr>
            </w:pPr>
            <w:r>
              <w:rPr>
                <w:iCs/>
                <w:szCs w:val="24"/>
              </w:rPr>
              <w:lastRenderedPageBreak/>
              <w:t xml:space="preserve">11.3.1. </w:t>
            </w:r>
            <w:r w:rsidR="00645BF6" w:rsidRPr="00645BF6">
              <w:rPr>
                <w:iCs/>
                <w:szCs w:val="24"/>
              </w:rPr>
              <w:t xml:space="preserve">jungtinio projekto vykdytojas (t. y. ESFA) JP projekto paraiškos vertinimo metu patikrina JP projekte planuojančios dalyvauti įmonės teisę gauti de </w:t>
            </w:r>
            <w:proofErr w:type="spellStart"/>
            <w:r w:rsidR="00645BF6" w:rsidRPr="00645BF6">
              <w:rPr>
                <w:iCs/>
                <w:szCs w:val="24"/>
              </w:rPr>
              <w:t>minimis</w:t>
            </w:r>
            <w:proofErr w:type="spellEnd"/>
            <w:r w:rsidR="00645BF6" w:rsidRPr="00645BF6">
              <w:rPr>
                <w:iCs/>
                <w:szCs w:val="24"/>
              </w:rPr>
              <w:t xml:space="preserve"> pagalbą (užpildydamas Aprašo 4 priedą). Jungtinio projekto vykdytojas dėl de </w:t>
            </w:r>
            <w:proofErr w:type="spellStart"/>
            <w:r w:rsidR="00645BF6" w:rsidRPr="00645BF6">
              <w:rPr>
                <w:iCs/>
                <w:szCs w:val="24"/>
              </w:rPr>
              <w:t>minimis</w:t>
            </w:r>
            <w:proofErr w:type="spellEnd"/>
            <w:r w:rsidR="00645BF6" w:rsidRPr="00645BF6">
              <w:rPr>
                <w:iCs/>
                <w:szCs w:val="24"/>
              </w:rPr>
              <w:t xml:space="preserve"> pagalbos turi patikrinti visas su pareiškėju susijusias įmones, nurodytas pateiktoje „Vienos įmonės“ deklaracijoje (Aprašo </w:t>
            </w:r>
            <w:r w:rsidR="002C45ED">
              <w:rPr>
                <w:iCs/>
                <w:szCs w:val="24"/>
              </w:rPr>
              <w:t>4</w:t>
            </w:r>
            <w:r w:rsidR="00645BF6" w:rsidRPr="00645BF6">
              <w:rPr>
                <w:iCs/>
                <w:szCs w:val="24"/>
              </w:rPr>
              <w:t xml:space="preserve"> priedas), taip pat Suteiktos valstybės pagalbos ir nereikšmingos (de </w:t>
            </w:r>
            <w:proofErr w:type="spellStart"/>
            <w:r w:rsidR="00645BF6" w:rsidRPr="00645BF6">
              <w:rPr>
                <w:iCs/>
                <w:szCs w:val="24"/>
              </w:rPr>
              <w:t>minimis</w:t>
            </w:r>
            <w:proofErr w:type="spellEnd"/>
            <w:r w:rsidR="00645BF6" w:rsidRPr="00645BF6">
              <w:rPr>
                <w:iCs/>
                <w:szCs w:val="24"/>
              </w:rPr>
              <w:t xml:space="preserve">) pagalbos registre, kurio nuostatai patvirtinti Lietuvos Respublikos Vyriausybės 2005 m. sausio 19 d. nutarimu Nr. 35 „Dėl Suteiktos valstybės pagalbos ir nereikšmingos (de </w:t>
            </w:r>
            <w:proofErr w:type="spellStart"/>
            <w:r w:rsidR="00645BF6" w:rsidRPr="00645BF6">
              <w:rPr>
                <w:iCs/>
                <w:szCs w:val="24"/>
              </w:rPr>
              <w:t>minimis</w:t>
            </w:r>
            <w:proofErr w:type="spellEnd"/>
            <w:r w:rsidR="00645BF6" w:rsidRPr="00645BF6">
              <w:rPr>
                <w:iCs/>
                <w:szCs w:val="24"/>
              </w:rPr>
              <w:t xml:space="preserve">) pagalbos registro nuostatų patvirtinimo“ (toliau – Suteiktos valstybės pagalbos registras), ir taip įsitikinti, kad dėl naujos suteikiamos de </w:t>
            </w:r>
            <w:proofErr w:type="spellStart"/>
            <w:r w:rsidR="00645BF6" w:rsidRPr="00645BF6">
              <w:rPr>
                <w:iCs/>
                <w:szCs w:val="24"/>
              </w:rPr>
              <w:t>minimis</w:t>
            </w:r>
            <w:proofErr w:type="spellEnd"/>
            <w:r w:rsidR="00645BF6" w:rsidRPr="00645BF6">
              <w:rPr>
                <w:iCs/>
                <w:szCs w:val="24"/>
              </w:rPr>
              <w:t xml:space="preserve"> pagalbos nebus viršyta  de </w:t>
            </w:r>
            <w:proofErr w:type="spellStart"/>
            <w:r w:rsidR="00645BF6" w:rsidRPr="00645BF6">
              <w:rPr>
                <w:iCs/>
                <w:szCs w:val="24"/>
              </w:rPr>
              <w:t>minimis</w:t>
            </w:r>
            <w:proofErr w:type="spellEnd"/>
            <w:r w:rsidR="00645BF6" w:rsidRPr="00645BF6">
              <w:rPr>
                <w:iCs/>
                <w:szCs w:val="24"/>
              </w:rPr>
              <w:t xml:space="preserve"> pagalbos suma, nustatyta vienai įmonei, kuri apima visas įmones, kaip nurodyta Komisijos reglamento (ES) Nr. 2023/2831 2 straipsnio 2 dalyje.  Ar įmonė yra susijusi su kitais subjektais, įmonė gali pasitikrinti pagal Lietuvos Respublikos konkurencijos tarybos parengtą klausimyną „Ar paramos gavėjas susijęs su kitais subjektais“, kuris paskelbtas Lietuvos Respublikos konkurencijos tarybos interneto svetainėje. Jungtinio projekto vykdytojui (t. y. ESFA) priėmus sprendimą finansuoti jungtinio projekto projektą, per 5 darbo dienas nuo priimto sprendimo jungtinio projekto vykdytojas (t. y. ESFA) suteiktą de </w:t>
            </w:r>
            <w:proofErr w:type="spellStart"/>
            <w:r w:rsidR="00645BF6" w:rsidRPr="00645BF6">
              <w:rPr>
                <w:iCs/>
                <w:szCs w:val="24"/>
              </w:rPr>
              <w:t>minimis</w:t>
            </w:r>
            <w:proofErr w:type="spellEnd"/>
            <w:r w:rsidR="00645BF6" w:rsidRPr="00645BF6">
              <w:rPr>
                <w:iCs/>
                <w:szCs w:val="24"/>
              </w:rPr>
              <w:t xml:space="preserve"> pagalbos sumą registruoja Suteiktos valstybės pagalbos registre;</w:t>
            </w:r>
          </w:p>
          <w:p w14:paraId="711BB11B" w14:textId="7708473E" w:rsidR="00645BF6" w:rsidRPr="00645BF6" w:rsidRDefault="00A8573F" w:rsidP="00645BF6">
            <w:pPr>
              <w:jc w:val="both"/>
              <w:rPr>
                <w:iCs/>
                <w:szCs w:val="24"/>
              </w:rPr>
            </w:pPr>
            <w:r>
              <w:rPr>
                <w:iCs/>
                <w:szCs w:val="24"/>
              </w:rPr>
              <w:t>11.3.</w:t>
            </w:r>
            <w:r w:rsidR="00467AEA">
              <w:rPr>
                <w:iCs/>
                <w:szCs w:val="24"/>
              </w:rPr>
              <w:t>2</w:t>
            </w:r>
            <w:r>
              <w:rPr>
                <w:iCs/>
                <w:szCs w:val="24"/>
              </w:rPr>
              <w:t xml:space="preserve">. </w:t>
            </w:r>
            <w:r w:rsidR="00645BF6" w:rsidRPr="00645BF6">
              <w:rPr>
                <w:iCs/>
                <w:szCs w:val="24"/>
              </w:rPr>
              <w:t xml:space="preserve">de </w:t>
            </w:r>
            <w:proofErr w:type="spellStart"/>
            <w:r w:rsidR="00645BF6" w:rsidRPr="00645BF6">
              <w:rPr>
                <w:iCs/>
                <w:szCs w:val="24"/>
              </w:rPr>
              <w:t>minimis</w:t>
            </w:r>
            <w:proofErr w:type="spellEnd"/>
            <w:r w:rsidR="00645BF6" w:rsidRPr="00645BF6">
              <w:rPr>
                <w:iCs/>
                <w:szCs w:val="24"/>
              </w:rPr>
              <w:t xml:space="preserve"> pagalbos dydis diskontuojamas vadovaujantis Komisijos reglamento (ES) Nr. 2023/2831 3 straipsnio 6 dalies nuostatomis;</w:t>
            </w:r>
          </w:p>
          <w:p w14:paraId="4E665B68" w14:textId="13A21248" w:rsidR="00645BF6" w:rsidRPr="00645BF6" w:rsidRDefault="00A8573F" w:rsidP="00645BF6">
            <w:pPr>
              <w:jc w:val="both"/>
              <w:rPr>
                <w:iCs/>
                <w:szCs w:val="24"/>
              </w:rPr>
            </w:pPr>
            <w:r>
              <w:rPr>
                <w:iCs/>
                <w:szCs w:val="24"/>
              </w:rPr>
              <w:t>11.3.</w:t>
            </w:r>
            <w:r w:rsidR="00467AEA">
              <w:rPr>
                <w:iCs/>
                <w:szCs w:val="24"/>
              </w:rPr>
              <w:t>3</w:t>
            </w:r>
            <w:r>
              <w:rPr>
                <w:iCs/>
                <w:szCs w:val="24"/>
              </w:rPr>
              <w:t xml:space="preserve">. </w:t>
            </w:r>
            <w:r w:rsidR="00645BF6" w:rsidRPr="00645BF6">
              <w:rPr>
                <w:iCs/>
                <w:szCs w:val="24"/>
              </w:rPr>
              <w:t xml:space="preserve">JP projekte dalyvaujančiai įmonei suteikiamos de </w:t>
            </w:r>
            <w:proofErr w:type="spellStart"/>
            <w:r w:rsidR="00645BF6" w:rsidRPr="00645BF6">
              <w:rPr>
                <w:iCs/>
                <w:szCs w:val="24"/>
              </w:rPr>
              <w:t>minimis</w:t>
            </w:r>
            <w:proofErr w:type="spellEnd"/>
            <w:r w:rsidR="00645BF6" w:rsidRPr="00645BF6">
              <w:rPr>
                <w:iCs/>
                <w:szCs w:val="24"/>
              </w:rPr>
              <w:t xml:space="preserve"> pagalbos dydis ir skiriama suma pagal fiksuotuosius projekto išlaidų dydžius yra nurodoma JP projekto sutartyje;</w:t>
            </w:r>
          </w:p>
          <w:p w14:paraId="47CD95B3" w14:textId="7143C6CF" w:rsidR="00645BF6" w:rsidRPr="00645BF6" w:rsidRDefault="00436B99" w:rsidP="00645BF6">
            <w:pPr>
              <w:jc w:val="both"/>
              <w:rPr>
                <w:iCs/>
                <w:szCs w:val="24"/>
              </w:rPr>
            </w:pPr>
            <w:r>
              <w:rPr>
                <w:iCs/>
                <w:szCs w:val="24"/>
              </w:rPr>
              <w:t xml:space="preserve">11.3.4. </w:t>
            </w:r>
            <w:r w:rsidR="00645BF6" w:rsidRPr="00645BF6">
              <w:rPr>
                <w:iCs/>
                <w:szCs w:val="24"/>
              </w:rPr>
              <w:t xml:space="preserve">de </w:t>
            </w:r>
            <w:proofErr w:type="spellStart"/>
            <w:r w:rsidR="00645BF6" w:rsidRPr="00645BF6">
              <w:rPr>
                <w:iCs/>
                <w:szCs w:val="24"/>
              </w:rPr>
              <w:t>minimis</w:t>
            </w:r>
            <w:proofErr w:type="spellEnd"/>
            <w:r w:rsidR="00645BF6" w:rsidRPr="00645BF6">
              <w:rPr>
                <w:iCs/>
                <w:szCs w:val="24"/>
              </w:rPr>
              <w:t xml:space="preserve"> pagalba nėra sumuojama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34F4C39A" w14:textId="77B929CC" w:rsidR="00645BF6" w:rsidRDefault="00436B99" w:rsidP="00645BF6">
            <w:pPr>
              <w:jc w:val="both"/>
              <w:rPr>
                <w:iCs/>
                <w:szCs w:val="24"/>
              </w:rPr>
            </w:pPr>
            <w:r>
              <w:rPr>
                <w:iCs/>
                <w:szCs w:val="24"/>
              </w:rPr>
              <w:t xml:space="preserve">11.3.5. </w:t>
            </w:r>
            <w:r w:rsidR="00645BF6" w:rsidRPr="00645BF6">
              <w:rPr>
                <w:iCs/>
                <w:szCs w:val="24"/>
              </w:rPr>
              <w:t xml:space="preserve">jeigu teisės aktas ar kitas sprendimas, kurio pagrindu suteikta de </w:t>
            </w:r>
            <w:proofErr w:type="spellStart"/>
            <w:r w:rsidR="00645BF6" w:rsidRPr="00645BF6">
              <w:rPr>
                <w:iCs/>
                <w:szCs w:val="24"/>
              </w:rPr>
              <w:t>minimis</w:t>
            </w:r>
            <w:proofErr w:type="spellEnd"/>
            <w:r w:rsidR="00645BF6" w:rsidRPr="00645BF6">
              <w:rPr>
                <w:iCs/>
                <w:szCs w:val="24"/>
              </w:rPr>
              <w:t xml:space="preserve"> pagalba, pripažįstamas netekusiu galios, nesuteikta de </w:t>
            </w:r>
            <w:proofErr w:type="spellStart"/>
            <w:r w:rsidR="00645BF6" w:rsidRPr="00645BF6">
              <w:rPr>
                <w:iCs/>
                <w:szCs w:val="24"/>
              </w:rPr>
              <w:t>minimis</w:t>
            </w:r>
            <w:proofErr w:type="spellEnd"/>
            <w:r w:rsidR="00645BF6" w:rsidRPr="00645BF6">
              <w:rPr>
                <w:iCs/>
                <w:szCs w:val="24"/>
              </w:rPr>
              <w:t xml:space="preserve"> pagalba išregistruojama iš Suteiktos valstybės pagalbos registro Suteiktos valstybės pagalbos registro nuostatuose nustatyta tvarka</w:t>
            </w:r>
            <w:r w:rsidR="00D174CA">
              <w:rPr>
                <w:iCs/>
                <w:szCs w:val="24"/>
              </w:rPr>
              <w:t>;</w:t>
            </w:r>
          </w:p>
          <w:p w14:paraId="67D379EF" w14:textId="7F1A70C1" w:rsidR="00484CE6" w:rsidRDefault="00484CE6" w:rsidP="00645BF6">
            <w:pPr>
              <w:jc w:val="both"/>
              <w:rPr>
                <w:iCs/>
                <w:szCs w:val="24"/>
              </w:rPr>
            </w:pPr>
            <w:r w:rsidRPr="00484CE6">
              <w:rPr>
                <w:iCs/>
                <w:szCs w:val="24"/>
              </w:rPr>
              <w:t>11.3.</w:t>
            </w:r>
            <w:r>
              <w:rPr>
                <w:iCs/>
                <w:szCs w:val="24"/>
              </w:rPr>
              <w:t>6</w:t>
            </w:r>
            <w:r w:rsidRPr="00484CE6">
              <w:rPr>
                <w:iCs/>
                <w:szCs w:val="24"/>
              </w:rPr>
              <w:t>.</w:t>
            </w:r>
            <w:r>
              <w:rPr>
                <w:iCs/>
                <w:szCs w:val="24"/>
              </w:rPr>
              <w:t xml:space="preserve"> </w:t>
            </w:r>
            <w:r w:rsidR="00E321A9" w:rsidRPr="00E321A9">
              <w:rPr>
                <w:iCs/>
                <w:szCs w:val="24"/>
              </w:rPr>
              <w:t xml:space="preserve">Siekiant nustatyti, ar teikiamas finansavimas yra (nėra) valstybės pagalba, administruojančioji institucija pildo Patikros lapą dėl valstybės pagalbos ir de </w:t>
            </w:r>
            <w:proofErr w:type="spellStart"/>
            <w:r w:rsidR="00E321A9" w:rsidRPr="00E321A9">
              <w:rPr>
                <w:iCs/>
                <w:szCs w:val="24"/>
              </w:rPr>
              <w:t>minimis</w:t>
            </w:r>
            <w:proofErr w:type="spellEnd"/>
            <w:r w:rsidR="00E321A9" w:rsidRPr="00E321A9">
              <w:rPr>
                <w:iCs/>
                <w:szCs w:val="24"/>
              </w:rPr>
              <w:t xml:space="preserve"> pagalbos buvimo ar nebuvimo (paskelbtas Europos Sąjungos investicijų interneto svetainėje https://esinvesticijos.lt/dokumentai/pavyzdinis-patikros-lapas-del-valstybes-pagalbos-ir-de-minimis-pagalbos-buvimo-ar-nebuvimo).</w:t>
            </w:r>
          </w:p>
          <w:p w14:paraId="2D00C10A" w14:textId="350B7EDB" w:rsidR="00645BF6" w:rsidRPr="00645BF6" w:rsidRDefault="00436B99" w:rsidP="00645BF6">
            <w:pPr>
              <w:jc w:val="both"/>
              <w:rPr>
                <w:iCs/>
                <w:szCs w:val="24"/>
              </w:rPr>
            </w:pPr>
            <w:r>
              <w:rPr>
                <w:iCs/>
                <w:szCs w:val="24"/>
              </w:rPr>
              <w:t>11.</w:t>
            </w:r>
            <w:r w:rsidR="00A36F6A">
              <w:rPr>
                <w:iCs/>
                <w:szCs w:val="24"/>
              </w:rPr>
              <w:t>4</w:t>
            </w:r>
            <w:r>
              <w:rPr>
                <w:iCs/>
                <w:szCs w:val="24"/>
              </w:rPr>
              <w:t xml:space="preserve">. </w:t>
            </w:r>
            <w:r w:rsidR="00645BF6" w:rsidRPr="00645BF6">
              <w:rPr>
                <w:iCs/>
                <w:szCs w:val="24"/>
              </w:rPr>
              <w:t xml:space="preserve">Pameistrystės išlaidų, kurios apmokamos pagal Profesinio mokymo pagal pameistrystės formą išlaidų fiksuotųjų vieneto įkainių nustatymo tyrimą, sumos daliai, tenkančiai JP projekte dalyvaujančioms įmonėms, pagrįsti turi būti pateikiamas užpildytas Aprašo 3 priedas. </w:t>
            </w:r>
          </w:p>
          <w:p w14:paraId="3CC34E06" w14:textId="3BD5C35B" w:rsidR="009320A1" w:rsidRPr="004B229B" w:rsidRDefault="00436B99" w:rsidP="00645BF6">
            <w:pPr>
              <w:jc w:val="both"/>
              <w:rPr>
                <w:iCs/>
                <w:szCs w:val="24"/>
              </w:rPr>
            </w:pPr>
            <w:r>
              <w:rPr>
                <w:iCs/>
                <w:szCs w:val="24"/>
              </w:rPr>
              <w:t>11.</w:t>
            </w:r>
            <w:r w:rsidR="00A36F6A">
              <w:rPr>
                <w:iCs/>
                <w:szCs w:val="24"/>
              </w:rPr>
              <w:t>5</w:t>
            </w:r>
            <w:r>
              <w:rPr>
                <w:iCs/>
                <w:szCs w:val="24"/>
              </w:rPr>
              <w:t xml:space="preserve">. </w:t>
            </w:r>
            <w:r w:rsidR="00645BF6" w:rsidRPr="00645BF6">
              <w:rPr>
                <w:iCs/>
                <w:szCs w:val="24"/>
              </w:rPr>
              <w:t>Neteisėta ir nesuderinama pripažintą pagalbą pagalbos gavėjas turi grąžinti savanoriškai arba ji gali būti išieškoma (ne ginčo tvarka) kaip tai reglamentuota Lietuvos Respublikos konkurencijos įstatymo 551 straipsnyje</w:t>
            </w:r>
            <w:r w:rsidR="00645BF6">
              <w:rPr>
                <w:iCs/>
                <w:szCs w:val="24"/>
              </w:rPr>
              <w:t>.</w:t>
            </w:r>
          </w:p>
        </w:tc>
      </w:tr>
      <w:tr w:rsidR="00854253" w:rsidRPr="004B229B" w14:paraId="3167FD4A" w14:textId="77777777" w:rsidTr="00561B47">
        <w:tc>
          <w:tcPr>
            <w:tcW w:w="15452" w:type="dxa"/>
          </w:tcPr>
          <w:p w14:paraId="132C9BF7" w14:textId="033DAAE6" w:rsidR="00854253" w:rsidRPr="004B229B" w:rsidRDefault="00B034EE">
            <w:pPr>
              <w:ind w:left="426" w:hanging="426"/>
              <w:jc w:val="both"/>
              <w:rPr>
                <w:i/>
                <w:szCs w:val="24"/>
              </w:rPr>
            </w:pPr>
            <w:r>
              <w:rPr>
                <w:b/>
                <w:szCs w:val="24"/>
              </w:rPr>
              <w:lastRenderedPageBreak/>
              <w:t>12.</w:t>
            </w:r>
            <w:r w:rsidR="00DD0E26" w:rsidRPr="004B229B">
              <w:rPr>
                <w:b/>
                <w:szCs w:val="24"/>
              </w:rPr>
              <w:t xml:space="preserve"> </w:t>
            </w:r>
            <w:r w:rsidR="0018209F" w:rsidRPr="004B229B">
              <w:rPr>
                <w:b/>
                <w:szCs w:val="24"/>
              </w:rPr>
              <w:t xml:space="preserve"> Projektų atrankos kriterijai</w:t>
            </w:r>
          </w:p>
        </w:tc>
      </w:tr>
      <w:tr w:rsidR="00854253" w:rsidRPr="004B229B" w14:paraId="54E6547F" w14:textId="77777777" w:rsidTr="00561B47">
        <w:trPr>
          <w:trHeight w:val="421"/>
        </w:trPr>
        <w:tc>
          <w:tcPr>
            <w:tcW w:w="15452" w:type="dxa"/>
          </w:tcPr>
          <w:p w14:paraId="7D6CE050" w14:textId="6DC5F812" w:rsidR="00854253" w:rsidRPr="004B229B" w:rsidRDefault="00B034EE">
            <w:pPr>
              <w:jc w:val="both"/>
              <w:rPr>
                <w:szCs w:val="24"/>
              </w:rPr>
            </w:pPr>
            <w:r>
              <w:rPr>
                <w:szCs w:val="24"/>
              </w:rPr>
              <w:t xml:space="preserve">12.1. </w:t>
            </w:r>
            <w:r w:rsidR="00961347" w:rsidRPr="003D2727">
              <w:rPr>
                <w:szCs w:val="24"/>
              </w:rPr>
              <w:t>Prioritetiniai ir specialieji jungtinio projekto atrankos kriterijai nėra nustatomi.</w:t>
            </w:r>
          </w:p>
        </w:tc>
      </w:tr>
      <w:tr w:rsidR="00854253" w:rsidRPr="004B229B" w14:paraId="152255CD" w14:textId="77777777" w:rsidTr="00561B47">
        <w:trPr>
          <w:trHeight w:val="309"/>
        </w:trPr>
        <w:tc>
          <w:tcPr>
            <w:tcW w:w="15452" w:type="dxa"/>
          </w:tcPr>
          <w:p w14:paraId="23447AA8" w14:textId="6FD1EFCD" w:rsidR="00854253" w:rsidRPr="004B229B" w:rsidRDefault="00B034EE">
            <w:pPr>
              <w:jc w:val="both"/>
              <w:rPr>
                <w:i/>
                <w:sz w:val="22"/>
                <w:szCs w:val="22"/>
              </w:rPr>
            </w:pPr>
            <w:r>
              <w:rPr>
                <w:b/>
                <w:szCs w:val="22"/>
              </w:rPr>
              <w:t>13.</w:t>
            </w:r>
            <w:r w:rsidR="00DD0E26" w:rsidRPr="004B229B">
              <w:rPr>
                <w:b/>
                <w:szCs w:val="22"/>
              </w:rPr>
              <w:t xml:space="preserve"> </w:t>
            </w:r>
            <w:r w:rsidR="0018209F" w:rsidRPr="004B229B">
              <w:rPr>
                <w:b/>
                <w:szCs w:val="22"/>
              </w:rPr>
              <w:t xml:space="preserve"> Jungtinio projekto projektų atrankos kriterijai </w:t>
            </w:r>
            <w:r w:rsidR="0018209F" w:rsidRPr="004B229B">
              <w:rPr>
                <w:szCs w:val="22"/>
              </w:rPr>
              <w:t>(</w:t>
            </w:r>
            <w:r w:rsidR="0018209F" w:rsidRPr="004B229B">
              <w:rPr>
                <w:i/>
                <w:szCs w:val="22"/>
              </w:rPr>
              <w:t>pildoma tik jungtiniam projektui)</w:t>
            </w:r>
          </w:p>
        </w:tc>
      </w:tr>
      <w:tr w:rsidR="00854253" w:rsidRPr="004B229B" w14:paraId="49830172" w14:textId="77777777" w:rsidTr="00561B47">
        <w:trPr>
          <w:trHeight w:val="376"/>
        </w:trPr>
        <w:tc>
          <w:tcPr>
            <w:tcW w:w="15452" w:type="dxa"/>
          </w:tcPr>
          <w:p w14:paraId="6DCDF68E" w14:textId="62E26D1A" w:rsidR="000B05B4" w:rsidRPr="000B05B4" w:rsidRDefault="00A33FE3" w:rsidP="000B05B4">
            <w:pPr>
              <w:jc w:val="both"/>
              <w:rPr>
                <w:szCs w:val="24"/>
              </w:rPr>
            </w:pPr>
            <w:r>
              <w:rPr>
                <w:szCs w:val="24"/>
              </w:rPr>
              <w:t xml:space="preserve">13.1. </w:t>
            </w:r>
            <w:r w:rsidR="000B05B4" w:rsidRPr="000B05B4">
              <w:rPr>
                <w:szCs w:val="24"/>
              </w:rPr>
              <w:t>Prioritetiniai JP projektų atrankos kriterijai nėra nustatomi.</w:t>
            </w:r>
          </w:p>
          <w:p w14:paraId="48570EA5" w14:textId="2380598F" w:rsidR="00854253" w:rsidRDefault="00A33FE3" w:rsidP="000B05B4">
            <w:pPr>
              <w:jc w:val="both"/>
              <w:rPr>
                <w:szCs w:val="24"/>
              </w:rPr>
            </w:pPr>
            <w:r>
              <w:rPr>
                <w:szCs w:val="24"/>
              </w:rPr>
              <w:t>13.</w:t>
            </w:r>
            <w:r w:rsidR="004062DC">
              <w:rPr>
                <w:szCs w:val="24"/>
              </w:rPr>
              <w:t>2</w:t>
            </w:r>
            <w:r>
              <w:rPr>
                <w:szCs w:val="24"/>
              </w:rPr>
              <w:t xml:space="preserve">. </w:t>
            </w:r>
            <w:r w:rsidR="000B05B4" w:rsidRPr="000B05B4">
              <w:rPr>
                <w:szCs w:val="24"/>
              </w:rPr>
              <w:t>Kiekvienas JP projektas turi atitikti 1 ir 4 specialiuosius kriterijus ir 2 (jeigu JP projekto pareiškėjas turės Bendradarbiavimo sutartį su didele įmone) arba 3 specialųjį kriterijų (jeigu JP projekto pareiškėjas turės Bendradarbiavimo sutartį su vidutine, maža ar labai maža įmone):</w:t>
            </w:r>
          </w:p>
          <w:tbl>
            <w:tblPr>
              <w:tblW w:w="14340" w:type="dxa"/>
              <w:tblLayout w:type="fixed"/>
              <w:tblLook w:val="00A0" w:firstRow="1" w:lastRow="0" w:firstColumn="1" w:lastColumn="0" w:noHBand="0" w:noVBand="0"/>
            </w:tblPr>
            <w:tblGrid>
              <w:gridCol w:w="700"/>
              <w:gridCol w:w="1310"/>
              <w:gridCol w:w="3826"/>
              <w:gridCol w:w="4677"/>
              <w:gridCol w:w="1842"/>
              <w:gridCol w:w="1985"/>
            </w:tblGrid>
            <w:tr w:rsidR="00E0052E" w14:paraId="7D6FD75D" w14:textId="77777777" w:rsidTr="00361FC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52814B1" w14:textId="77777777" w:rsidR="00E0052E" w:rsidRDefault="00E0052E" w:rsidP="00E0052E">
                  <w:pPr>
                    <w:spacing w:line="254" w:lineRule="auto"/>
                    <w:rPr>
                      <w:b/>
                      <w:bCs/>
                      <w:szCs w:val="22"/>
                    </w:rPr>
                  </w:pPr>
                  <w:r>
                    <w:rPr>
                      <w:b/>
                      <w:bCs/>
                      <w:sz w:val="22"/>
                      <w:szCs w:val="22"/>
                    </w:rPr>
                    <w:lastRenderedPageBreak/>
                    <w:t>Eil. Nr.</w:t>
                  </w:r>
                </w:p>
              </w:tc>
              <w:tc>
                <w:tcPr>
                  <w:tcW w:w="1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DAEA5B6" w14:textId="77777777" w:rsidR="00E0052E" w:rsidRDefault="00E0052E" w:rsidP="00E0052E">
                  <w:pPr>
                    <w:spacing w:line="254" w:lineRule="auto"/>
                    <w:jc w:val="center"/>
                    <w:rPr>
                      <w:b/>
                      <w:bCs/>
                      <w:szCs w:val="22"/>
                    </w:rPr>
                  </w:pPr>
                  <w:r>
                    <w:rPr>
                      <w:b/>
                      <w:bCs/>
                      <w:sz w:val="22"/>
                      <w:szCs w:val="22"/>
                    </w:rPr>
                    <w:t>Kriterijaus tipas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018280A" w14:textId="77777777" w:rsidR="00E0052E" w:rsidRDefault="00E0052E" w:rsidP="00E0052E">
                  <w:pPr>
                    <w:spacing w:line="254" w:lineRule="auto"/>
                    <w:jc w:val="center"/>
                    <w:rPr>
                      <w:b/>
                      <w:bCs/>
                      <w:szCs w:val="22"/>
                    </w:rPr>
                  </w:pPr>
                  <w:r>
                    <w:rPr>
                      <w:b/>
                      <w:bCs/>
                      <w:sz w:val="22"/>
                      <w:szCs w:val="22"/>
                    </w:rPr>
                    <w:t>Kriterijus</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9C4B0D9" w14:textId="77777777" w:rsidR="00E0052E" w:rsidRDefault="00E0052E" w:rsidP="00E0052E">
                  <w:pPr>
                    <w:spacing w:line="254" w:lineRule="auto"/>
                    <w:jc w:val="center"/>
                    <w:rPr>
                      <w:b/>
                      <w:bCs/>
                      <w:szCs w:val="22"/>
                    </w:rPr>
                  </w:pPr>
                  <w:r>
                    <w:rPr>
                      <w:b/>
                      <w:bCs/>
                      <w:sz w:val="22"/>
                      <w:szCs w:val="22"/>
                    </w:rPr>
                    <w:t>Kriterijaus vertinimo metodas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hideMark/>
                </w:tcPr>
                <w:p w14:paraId="59C1248F" w14:textId="77777777" w:rsidR="00E0052E" w:rsidRDefault="00E0052E" w:rsidP="00E0052E">
                  <w:pPr>
                    <w:spacing w:line="254" w:lineRule="auto"/>
                    <w:jc w:val="center"/>
                    <w:rPr>
                      <w:b/>
                      <w:bCs/>
                      <w:szCs w:val="22"/>
                    </w:rPr>
                  </w:pPr>
                  <w:r>
                    <w:rPr>
                      <w:b/>
                      <w:bCs/>
                      <w:sz w:val="22"/>
                      <w:szCs w:val="22"/>
                    </w:rPr>
                    <w:t>Didžiausias galimas kriterijaus balas</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hideMark/>
                </w:tcPr>
                <w:p w14:paraId="61A476D6" w14:textId="77777777" w:rsidR="00E0052E" w:rsidRDefault="00E0052E" w:rsidP="00E0052E">
                  <w:pPr>
                    <w:spacing w:line="254" w:lineRule="auto"/>
                    <w:jc w:val="center"/>
                    <w:rPr>
                      <w:b/>
                      <w:bCs/>
                      <w:szCs w:val="22"/>
                    </w:rPr>
                  </w:pPr>
                  <w:r>
                    <w:rPr>
                      <w:b/>
                      <w:bCs/>
                      <w:sz w:val="22"/>
                      <w:szCs w:val="22"/>
                    </w:rPr>
                    <w:t>Kriterijaus svorio koeficientas</w:t>
                  </w:r>
                </w:p>
              </w:tc>
            </w:tr>
            <w:tr w:rsidR="00E0052E" w14:paraId="557A21C6" w14:textId="77777777" w:rsidTr="00361FC4">
              <w:trPr>
                <w:trHeight w:val="247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61301" w14:textId="77777777" w:rsidR="00E0052E" w:rsidRDefault="00E0052E" w:rsidP="00E0052E">
                  <w:pPr>
                    <w:spacing w:line="254" w:lineRule="auto"/>
                    <w:jc w:val="both"/>
                    <w:rPr>
                      <w:szCs w:val="22"/>
                    </w:rPr>
                  </w:pPr>
                  <w:r>
                    <w:rPr>
                      <w:sz w:val="22"/>
                      <w:szCs w:val="22"/>
                    </w:rPr>
                    <w:t>1.</w:t>
                  </w:r>
                </w:p>
              </w:tc>
              <w:tc>
                <w:tcPr>
                  <w:tcW w:w="13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3EFE4" w14:textId="77777777" w:rsidR="00E0052E" w:rsidRDefault="00E0052E" w:rsidP="00E0052E">
                  <w:pPr>
                    <w:spacing w:line="254" w:lineRule="auto"/>
                    <w:jc w:val="both"/>
                    <w:rPr>
                      <w:szCs w:val="22"/>
                    </w:rPr>
                  </w:pPr>
                  <w:r>
                    <w:rPr>
                      <w:sz w:val="22"/>
                      <w:szCs w:val="22"/>
                    </w:rPr>
                    <w:t>Specialusis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86F890" w14:textId="77777777" w:rsidR="00E0052E" w:rsidRDefault="00E0052E" w:rsidP="00E0052E">
                  <w:pPr>
                    <w:spacing w:line="254" w:lineRule="auto"/>
                    <w:jc w:val="both"/>
                    <w:rPr>
                      <w:szCs w:val="22"/>
                    </w:rPr>
                  </w:pPr>
                  <w:r>
                    <w:rPr>
                      <w:color w:val="000000"/>
                      <w:sz w:val="22"/>
                      <w:szCs w:val="22"/>
                    </w:rPr>
                    <w:t>Profesinio mokymo įstaiga, projekte įgyvendindama profesinį mokymą, organizuojamą pameistrystės forma, bendradarbiauja su įmone ar įmonėmis.</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FA742C" w14:textId="77777777" w:rsidR="00E0052E" w:rsidRDefault="00E0052E" w:rsidP="00E0052E">
                  <w:pPr>
                    <w:tabs>
                      <w:tab w:val="left" w:pos="564"/>
                      <w:tab w:val="left" w:pos="743"/>
                    </w:tabs>
                    <w:jc w:val="both"/>
                    <w:rPr>
                      <w:szCs w:val="22"/>
                    </w:rPr>
                  </w:pPr>
                  <w:r>
                    <w:rPr>
                      <w:sz w:val="22"/>
                      <w:szCs w:val="22"/>
                    </w:rPr>
                    <w:t>Privalomas bendradarbiavimas su bent viena įmone. JP projekto atrankos metu jungtinio projekto vykdytojui (t. y. ESFA) b</w:t>
                  </w:r>
                  <w:r>
                    <w:rPr>
                      <w:color w:val="000000"/>
                      <w:sz w:val="22"/>
                      <w:szCs w:val="22"/>
                    </w:rPr>
                    <w:t xml:space="preserve">ūtina įsitikinti, ar profesinio mokymo įstaiga, projekte įgyvendindama profesinį mokymą, organizuojamą pameistrystės forma, bendradarbiauja su įmone ar įmonėmis, t. y. ar kartu su projekto paraiška pateikta Bendradarbiavimo sutartis, kaip tai nurodyta Aprašo </w:t>
                  </w:r>
                  <w:r>
                    <w:rPr>
                      <w:sz w:val="22"/>
                      <w:szCs w:val="22"/>
                    </w:rPr>
                    <w:t>3.13.2 punkte.</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4776E0" w14:textId="77777777" w:rsidR="00E0052E" w:rsidRDefault="00E0052E" w:rsidP="00E0052E">
                  <w:pPr>
                    <w:spacing w:line="254" w:lineRule="auto"/>
                    <w:jc w:val="both"/>
                    <w:rPr>
                      <w:szCs w:val="22"/>
                    </w:rPr>
                  </w:pPr>
                  <w:r>
                    <w:rPr>
                      <w:sz w:val="22"/>
                      <w:szCs w:val="22"/>
                    </w:rPr>
                    <w:t>-</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866BD" w14:textId="77777777" w:rsidR="00E0052E" w:rsidRDefault="00E0052E" w:rsidP="00E0052E">
                  <w:pPr>
                    <w:spacing w:line="254" w:lineRule="auto"/>
                    <w:jc w:val="both"/>
                    <w:rPr>
                      <w:szCs w:val="22"/>
                    </w:rPr>
                  </w:pPr>
                  <w:r>
                    <w:rPr>
                      <w:sz w:val="22"/>
                      <w:szCs w:val="22"/>
                    </w:rPr>
                    <w:t>-</w:t>
                  </w:r>
                </w:p>
              </w:tc>
            </w:tr>
            <w:tr w:rsidR="00E0052E" w14:paraId="0115FB2D" w14:textId="77777777" w:rsidTr="00361FC4">
              <w:trPr>
                <w:trHeight w:val="1674"/>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6E7CD9" w14:textId="77777777" w:rsidR="00E0052E" w:rsidRDefault="00E0052E" w:rsidP="00E0052E">
                  <w:pPr>
                    <w:spacing w:line="254" w:lineRule="auto"/>
                    <w:jc w:val="both"/>
                    <w:rPr>
                      <w:szCs w:val="22"/>
                    </w:rPr>
                  </w:pPr>
                  <w:r>
                    <w:rPr>
                      <w:sz w:val="22"/>
                      <w:szCs w:val="22"/>
                    </w:rPr>
                    <w:t>2.</w:t>
                  </w:r>
                </w:p>
              </w:tc>
              <w:tc>
                <w:tcPr>
                  <w:tcW w:w="13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87B75" w14:textId="77777777" w:rsidR="00E0052E" w:rsidRDefault="00E0052E" w:rsidP="00E0052E">
                  <w:pPr>
                    <w:spacing w:line="254" w:lineRule="auto"/>
                    <w:jc w:val="both"/>
                    <w:rPr>
                      <w:szCs w:val="22"/>
                    </w:rPr>
                  </w:pPr>
                  <w:r>
                    <w:rPr>
                      <w:sz w:val="22"/>
                      <w:szCs w:val="22"/>
                    </w:rPr>
                    <w:t>Specialusis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64FD2F" w14:textId="77777777" w:rsidR="00E0052E" w:rsidRDefault="00E0052E" w:rsidP="00E0052E">
                  <w:pPr>
                    <w:spacing w:line="254" w:lineRule="auto"/>
                    <w:jc w:val="both"/>
                    <w:rPr>
                      <w:szCs w:val="22"/>
                    </w:rPr>
                  </w:pPr>
                  <w:r>
                    <w:rPr>
                      <w:color w:val="000000"/>
                      <w:sz w:val="22"/>
                      <w:szCs w:val="22"/>
                    </w:rPr>
                    <w:t xml:space="preserve">Projekte numatyta, kad profesinį mokymą pameistrystės forma pasirinkę mokiniai jos mokysis didelėse įmonėse.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51F16F" w14:textId="77777777" w:rsidR="00E0052E" w:rsidRDefault="00E0052E" w:rsidP="00E0052E">
                  <w:pPr>
                    <w:jc w:val="both"/>
                    <w:rPr>
                      <w:szCs w:val="22"/>
                    </w:rPr>
                  </w:pPr>
                  <w:r>
                    <w:rPr>
                      <w:color w:val="191919"/>
                      <w:sz w:val="22"/>
                      <w:szCs w:val="22"/>
                      <w:shd w:val="clear" w:color="auto" w:fill="FFFFFF"/>
                    </w:rPr>
                    <w:t>Įmonė, kuri neatitinka vidutinės, mažos arba labai mažos įmonės kriterijų, apibrėžtų SVV įstatyme, laikoma didele įmone.</w:t>
                  </w:r>
                  <w:r>
                    <w:rPr>
                      <w:color w:val="000000"/>
                      <w:sz w:val="22"/>
                      <w:szCs w:val="22"/>
                    </w:rPr>
                    <w:t xml:space="preserve"> Jei JP projekte dalyvaujanti įmonė yra didelė įmonė, tuomet su paraiška privaloma pateikti laisvos formos raštą dėl didelės įmonės statuso.</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A7DE75" w14:textId="77777777" w:rsidR="00E0052E" w:rsidRDefault="00E0052E" w:rsidP="00E0052E">
                  <w:pPr>
                    <w:spacing w:line="254" w:lineRule="auto"/>
                    <w:jc w:val="both"/>
                    <w:rPr>
                      <w:szCs w:val="22"/>
                    </w:rPr>
                  </w:pPr>
                  <w:r>
                    <w:rPr>
                      <w:sz w:val="22"/>
                      <w:szCs w:val="22"/>
                    </w:rPr>
                    <w:t>-</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0DEBA6" w14:textId="77777777" w:rsidR="00E0052E" w:rsidRDefault="00E0052E" w:rsidP="00E0052E">
                  <w:pPr>
                    <w:spacing w:line="254" w:lineRule="auto"/>
                    <w:jc w:val="both"/>
                    <w:rPr>
                      <w:szCs w:val="22"/>
                    </w:rPr>
                  </w:pPr>
                  <w:r>
                    <w:rPr>
                      <w:sz w:val="22"/>
                      <w:szCs w:val="22"/>
                    </w:rPr>
                    <w:t>-</w:t>
                  </w:r>
                </w:p>
              </w:tc>
            </w:tr>
            <w:tr w:rsidR="00E0052E" w14:paraId="6FA52EA7" w14:textId="77777777" w:rsidTr="00361FC4">
              <w:trPr>
                <w:trHeight w:val="1397"/>
              </w:trPr>
              <w:tc>
                <w:tcPr>
                  <w:tcW w:w="701"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4351A5D8" w14:textId="77777777" w:rsidR="00E0052E" w:rsidRDefault="00E0052E" w:rsidP="00E0052E">
                  <w:pPr>
                    <w:spacing w:line="254" w:lineRule="auto"/>
                    <w:jc w:val="both"/>
                    <w:rPr>
                      <w:szCs w:val="22"/>
                    </w:rPr>
                  </w:pPr>
                  <w:r>
                    <w:rPr>
                      <w:sz w:val="22"/>
                      <w:szCs w:val="22"/>
                    </w:rPr>
                    <w:t>3.</w:t>
                  </w:r>
                </w:p>
              </w:tc>
              <w:tc>
                <w:tcPr>
                  <w:tcW w:w="1310"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2E5427A9" w14:textId="77777777" w:rsidR="00E0052E" w:rsidRDefault="00E0052E" w:rsidP="00E0052E">
                  <w:pPr>
                    <w:spacing w:line="254" w:lineRule="auto"/>
                    <w:jc w:val="both"/>
                    <w:rPr>
                      <w:szCs w:val="22"/>
                    </w:rPr>
                  </w:pPr>
                  <w:r>
                    <w:rPr>
                      <w:sz w:val="22"/>
                      <w:szCs w:val="22"/>
                    </w:rPr>
                    <w:t>Specialusis</w:t>
                  </w:r>
                </w:p>
              </w:tc>
              <w:tc>
                <w:tcPr>
                  <w:tcW w:w="3827"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6D825BAE" w14:textId="77777777" w:rsidR="00E0052E" w:rsidRDefault="00E0052E" w:rsidP="00E0052E">
                  <w:pPr>
                    <w:spacing w:line="254" w:lineRule="auto"/>
                    <w:jc w:val="both"/>
                    <w:rPr>
                      <w:color w:val="000000"/>
                      <w:szCs w:val="22"/>
                    </w:rPr>
                  </w:pPr>
                  <w:r>
                    <w:rPr>
                      <w:color w:val="000000"/>
                      <w:sz w:val="22"/>
                      <w:szCs w:val="22"/>
                    </w:rPr>
                    <w:t>Projekte numatyta, kad profesinį mokymą pameistrystės forma pasirinkę mokiniai jos mokysis vidutinėse, mažose ar labai mažose įmonėse.</w:t>
                  </w:r>
                </w:p>
              </w:tc>
              <w:tc>
                <w:tcPr>
                  <w:tcW w:w="4678"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3D040185" w14:textId="77777777" w:rsidR="00E0052E" w:rsidRDefault="00E0052E" w:rsidP="00E0052E">
                  <w:pPr>
                    <w:tabs>
                      <w:tab w:val="left" w:pos="564"/>
                      <w:tab w:val="left" w:pos="743"/>
                    </w:tabs>
                    <w:jc w:val="both"/>
                    <w:rPr>
                      <w:szCs w:val="22"/>
                    </w:rPr>
                  </w:pPr>
                  <w:r>
                    <w:rPr>
                      <w:color w:val="000000"/>
                      <w:sz w:val="22"/>
                      <w:szCs w:val="22"/>
                    </w:rPr>
                    <w:t xml:space="preserve">Pateikta informacija pagal </w:t>
                  </w:r>
                  <w:r>
                    <w:rPr>
                      <w:sz w:val="22"/>
                      <w:szCs w:val="22"/>
                    </w:rPr>
                    <w:t xml:space="preserve">SVV įstatymą </w:t>
                  </w:r>
                  <w:r>
                    <w:rPr>
                      <w:color w:val="000000"/>
                      <w:sz w:val="22"/>
                      <w:szCs w:val="22"/>
                    </w:rPr>
                    <w:t xml:space="preserve">dėl įmonės statuso atitikimo vidutinei, mažai ar labai mažai įmonei. Būtina įsitikinti, ar kartu su paraiška pateikta SVV statuso deklaracija ir joje nurodyti duomenys teisingi. </w:t>
                  </w:r>
                </w:p>
              </w:tc>
              <w:tc>
                <w:tcPr>
                  <w:tcW w:w="1842"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5DBB26F4" w14:textId="77777777" w:rsidR="00E0052E" w:rsidRDefault="00E0052E" w:rsidP="00E0052E">
                  <w:pPr>
                    <w:spacing w:line="254" w:lineRule="auto"/>
                    <w:jc w:val="both"/>
                    <w:rPr>
                      <w:szCs w:val="22"/>
                    </w:rPr>
                  </w:pPr>
                  <w:r>
                    <w:rPr>
                      <w:sz w:val="22"/>
                      <w:szCs w:val="22"/>
                    </w:rPr>
                    <w:t>-</w:t>
                  </w:r>
                </w:p>
              </w:tc>
              <w:tc>
                <w:tcPr>
                  <w:tcW w:w="1970"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6FD23E19" w14:textId="77777777" w:rsidR="00E0052E" w:rsidRDefault="00E0052E" w:rsidP="00E0052E">
                  <w:pPr>
                    <w:spacing w:line="254" w:lineRule="auto"/>
                    <w:jc w:val="both"/>
                    <w:rPr>
                      <w:szCs w:val="22"/>
                    </w:rPr>
                  </w:pPr>
                  <w:r>
                    <w:rPr>
                      <w:sz w:val="22"/>
                      <w:szCs w:val="22"/>
                    </w:rPr>
                    <w:t>-</w:t>
                  </w:r>
                </w:p>
              </w:tc>
            </w:tr>
            <w:tr w:rsidR="00E0052E" w14:paraId="0F5D67AE" w14:textId="77777777" w:rsidTr="00361FC4">
              <w:trPr>
                <w:trHeight w:val="468"/>
              </w:trPr>
              <w:tc>
                <w:tcPr>
                  <w:tcW w:w="701" w:type="dxa"/>
                  <w:tcBorders>
                    <w:top w:val="single" w:sz="4" w:space="0" w:color="auto"/>
                    <w:left w:val="single" w:sz="6" w:space="0" w:color="000000" w:themeColor="text1"/>
                    <w:bottom w:val="single" w:sz="4" w:space="0" w:color="auto"/>
                    <w:right w:val="single" w:sz="6" w:space="0" w:color="000000" w:themeColor="text1"/>
                  </w:tcBorders>
                  <w:hideMark/>
                </w:tcPr>
                <w:p w14:paraId="2EFBBA53" w14:textId="77777777" w:rsidR="00E0052E" w:rsidRDefault="00E0052E" w:rsidP="00E0052E">
                  <w:pPr>
                    <w:spacing w:line="254" w:lineRule="auto"/>
                    <w:jc w:val="both"/>
                    <w:rPr>
                      <w:szCs w:val="22"/>
                    </w:rPr>
                  </w:pPr>
                  <w:r>
                    <w:rPr>
                      <w:sz w:val="22"/>
                      <w:szCs w:val="22"/>
                    </w:rPr>
                    <w:t>4.</w:t>
                  </w:r>
                </w:p>
              </w:tc>
              <w:tc>
                <w:tcPr>
                  <w:tcW w:w="1310" w:type="dxa"/>
                  <w:tcBorders>
                    <w:top w:val="single" w:sz="4" w:space="0" w:color="auto"/>
                    <w:left w:val="single" w:sz="6" w:space="0" w:color="000000" w:themeColor="text1"/>
                    <w:bottom w:val="single" w:sz="4" w:space="0" w:color="auto"/>
                    <w:right w:val="single" w:sz="6" w:space="0" w:color="000000" w:themeColor="text1"/>
                  </w:tcBorders>
                  <w:hideMark/>
                </w:tcPr>
                <w:p w14:paraId="0A27CD29" w14:textId="77777777" w:rsidR="00E0052E" w:rsidRDefault="00E0052E" w:rsidP="00E0052E">
                  <w:pPr>
                    <w:spacing w:line="254" w:lineRule="auto"/>
                    <w:jc w:val="both"/>
                    <w:rPr>
                      <w:szCs w:val="22"/>
                    </w:rPr>
                  </w:pPr>
                  <w:r>
                    <w:rPr>
                      <w:sz w:val="22"/>
                      <w:szCs w:val="22"/>
                    </w:rPr>
                    <w:t>Specialusis</w:t>
                  </w:r>
                </w:p>
              </w:tc>
              <w:tc>
                <w:tcPr>
                  <w:tcW w:w="3827" w:type="dxa"/>
                  <w:tcBorders>
                    <w:top w:val="single" w:sz="4" w:space="0" w:color="auto"/>
                    <w:left w:val="single" w:sz="6" w:space="0" w:color="000000" w:themeColor="text1"/>
                    <w:bottom w:val="single" w:sz="4" w:space="0" w:color="auto"/>
                    <w:right w:val="single" w:sz="6" w:space="0" w:color="000000" w:themeColor="text1"/>
                  </w:tcBorders>
                  <w:hideMark/>
                </w:tcPr>
                <w:p w14:paraId="33F64A8E" w14:textId="77777777" w:rsidR="00E0052E" w:rsidRDefault="00E0052E" w:rsidP="00E0052E">
                  <w:pPr>
                    <w:tabs>
                      <w:tab w:val="left" w:pos="743"/>
                    </w:tabs>
                    <w:jc w:val="both"/>
                    <w:rPr>
                      <w:color w:val="000000"/>
                      <w:szCs w:val="22"/>
                    </w:rPr>
                  </w:pPr>
                  <w:r>
                    <w:rPr>
                      <w:color w:val="000000"/>
                      <w:sz w:val="22"/>
                      <w:szCs w:val="22"/>
                    </w:rPr>
                    <w:t>Projekte numatyta, kad bent 40 proc. programų, įgyvendinamų pameistrystės forma, bus orientuotos į skaitmeninių kompetencijų ugdymą.</w:t>
                  </w:r>
                </w:p>
              </w:tc>
              <w:tc>
                <w:tcPr>
                  <w:tcW w:w="4678" w:type="dxa"/>
                  <w:tcBorders>
                    <w:top w:val="single" w:sz="4" w:space="0" w:color="auto"/>
                    <w:left w:val="single" w:sz="6" w:space="0" w:color="000000" w:themeColor="text1"/>
                    <w:bottom w:val="single" w:sz="4" w:space="0" w:color="auto"/>
                    <w:right w:val="single" w:sz="6" w:space="0" w:color="000000" w:themeColor="text1"/>
                  </w:tcBorders>
                  <w:hideMark/>
                </w:tcPr>
                <w:p w14:paraId="0A96E6F5" w14:textId="77777777" w:rsidR="00E0052E" w:rsidRDefault="00E0052E" w:rsidP="00E0052E">
                  <w:pPr>
                    <w:tabs>
                      <w:tab w:val="left" w:pos="743"/>
                    </w:tabs>
                    <w:jc w:val="both"/>
                    <w:rPr>
                      <w:color w:val="000000"/>
                      <w:szCs w:val="22"/>
                    </w:rPr>
                  </w:pPr>
                  <w:r>
                    <w:rPr>
                      <w:color w:val="000000"/>
                      <w:sz w:val="22"/>
                      <w:szCs w:val="22"/>
                    </w:rPr>
                    <w:t xml:space="preserve">Skaičiuojama, kad bent 40 proc. mokinių, priimtų mokytis pagal formaliojo profesinio mokymo programą pameistrystės forma, mokosi pagal programą, orientuotą į skaitmeninių kompetencijų ugdymą, kaip tai apibrėžta Aprašo 1.4.2 punkte. JP projektų pareiškėjas atrankos metu pateikia programos, orientuotos į skaitmeninių kompetencijų ugdymą, kriterijų atitikimo pagrindžiančius dokumentus. Jungtinio projekto vykdytojas (t. y. ESFA) pagal pateiktus dokumentus JP projekto atrankos metu įsitikina, </w:t>
                  </w:r>
                  <w:r>
                    <w:rPr>
                      <w:color w:val="000000"/>
                      <w:sz w:val="22"/>
                      <w:szCs w:val="22"/>
                    </w:rPr>
                    <w:lastRenderedPageBreak/>
                    <w:t xml:space="preserve">kad bent 40 proc. mokinių, priimtų mokytis pagal formaliojo profesinio mokymo programą pameistrystės forma, mokosi pagal programą, orientuotą į skaitmeninių kompetencijų ugdymą. </w:t>
                  </w:r>
                </w:p>
              </w:tc>
              <w:tc>
                <w:tcPr>
                  <w:tcW w:w="1842" w:type="dxa"/>
                  <w:tcBorders>
                    <w:top w:val="single" w:sz="4" w:space="0" w:color="auto"/>
                    <w:left w:val="single" w:sz="6" w:space="0" w:color="000000" w:themeColor="text1"/>
                    <w:bottom w:val="single" w:sz="4" w:space="0" w:color="auto"/>
                    <w:right w:val="single" w:sz="6" w:space="0" w:color="000000" w:themeColor="text1"/>
                  </w:tcBorders>
                  <w:hideMark/>
                </w:tcPr>
                <w:p w14:paraId="5A26EF69" w14:textId="77777777" w:rsidR="00E0052E" w:rsidRDefault="00E0052E" w:rsidP="00E0052E">
                  <w:pPr>
                    <w:spacing w:line="254" w:lineRule="auto"/>
                    <w:jc w:val="both"/>
                    <w:rPr>
                      <w:szCs w:val="22"/>
                    </w:rPr>
                  </w:pPr>
                  <w:r>
                    <w:rPr>
                      <w:sz w:val="22"/>
                      <w:szCs w:val="22"/>
                    </w:rPr>
                    <w:lastRenderedPageBreak/>
                    <w:t>-</w:t>
                  </w:r>
                </w:p>
              </w:tc>
              <w:tc>
                <w:tcPr>
                  <w:tcW w:w="1985" w:type="dxa"/>
                  <w:tcBorders>
                    <w:top w:val="single" w:sz="4" w:space="0" w:color="auto"/>
                    <w:left w:val="single" w:sz="6" w:space="0" w:color="000000" w:themeColor="text1"/>
                    <w:bottom w:val="single" w:sz="4" w:space="0" w:color="auto"/>
                    <w:right w:val="single" w:sz="6" w:space="0" w:color="000000" w:themeColor="text1"/>
                  </w:tcBorders>
                  <w:hideMark/>
                </w:tcPr>
                <w:p w14:paraId="22BB8802" w14:textId="77777777" w:rsidR="00E0052E" w:rsidRDefault="00E0052E" w:rsidP="00E0052E">
                  <w:pPr>
                    <w:spacing w:line="254" w:lineRule="auto"/>
                    <w:jc w:val="both"/>
                    <w:rPr>
                      <w:szCs w:val="22"/>
                    </w:rPr>
                  </w:pPr>
                  <w:r>
                    <w:rPr>
                      <w:sz w:val="22"/>
                      <w:szCs w:val="22"/>
                    </w:rPr>
                    <w:t>-</w:t>
                  </w:r>
                </w:p>
              </w:tc>
            </w:tr>
          </w:tbl>
          <w:p w14:paraId="614259FC" w14:textId="11789B9A" w:rsidR="000B05B4" w:rsidRPr="004B229B" w:rsidRDefault="000B05B4" w:rsidP="000B05B4">
            <w:pPr>
              <w:jc w:val="both"/>
              <w:rPr>
                <w:szCs w:val="24"/>
              </w:rPr>
            </w:pPr>
          </w:p>
        </w:tc>
      </w:tr>
      <w:tr w:rsidR="00854253" w:rsidRPr="004B229B" w14:paraId="16BE17A1" w14:textId="77777777" w:rsidTr="00561B47">
        <w:tc>
          <w:tcPr>
            <w:tcW w:w="15452" w:type="dxa"/>
          </w:tcPr>
          <w:p w14:paraId="41DB57A4" w14:textId="63E978CB" w:rsidR="00854253" w:rsidRPr="004B229B" w:rsidRDefault="00B034EE">
            <w:pPr>
              <w:rPr>
                <w:b/>
                <w:szCs w:val="24"/>
              </w:rPr>
            </w:pPr>
            <w:r>
              <w:rPr>
                <w:b/>
                <w:szCs w:val="24"/>
              </w:rPr>
              <w:lastRenderedPageBreak/>
              <w:t>14.</w:t>
            </w:r>
            <w:r w:rsidR="00DD0E26" w:rsidRPr="004B229B">
              <w:rPr>
                <w:b/>
                <w:szCs w:val="24"/>
              </w:rPr>
              <w:t xml:space="preserve"> </w:t>
            </w:r>
            <w:r w:rsidR="0018209F" w:rsidRPr="004B229B">
              <w:rPr>
                <w:b/>
                <w:szCs w:val="24"/>
              </w:rPr>
              <w:t xml:space="preserve"> Reikalavimai įgyvendinus projektų veiklas </w:t>
            </w:r>
          </w:p>
        </w:tc>
      </w:tr>
      <w:tr w:rsidR="00854253" w:rsidRPr="004B229B" w14:paraId="502B96DA" w14:textId="77777777" w:rsidTr="00561B47">
        <w:tc>
          <w:tcPr>
            <w:tcW w:w="15452" w:type="dxa"/>
          </w:tcPr>
          <w:p w14:paraId="4DEB1FB1" w14:textId="59D7D67A" w:rsidR="00854253" w:rsidRPr="004B229B" w:rsidRDefault="00037A26" w:rsidP="00657857">
            <w:pPr>
              <w:rPr>
                <w:szCs w:val="24"/>
              </w:rPr>
            </w:pPr>
            <w:r>
              <w:t>14.1.</w:t>
            </w:r>
            <w:r w:rsidRPr="004B229B">
              <w:t xml:space="preserve"> </w:t>
            </w:r>
            <w:r w:rsidR="00B825B4" w:rsidRPr="00B825B4">
              <w:t>Papildomi reikalavimai įgyvendinus projekto veiklas, kurie nenumatyti Projektų taisyklėse, nėra taikomi.</w:t>
            </w:r>
          </w:p>
        </w:tc>
      </w:tr>
      <w:tr w:rsidR="00854253" w:rsidRPr="004B229B" w14:paraId="46496212" w14:textId="77777777" w:rsidTr="00561B47">
        <w:tc>
          <w:tcPr>
            <w:tcW w:w="15452" w:type="dxa"/>
          </w:tcPr>
          <w:p w14:paraId="334702F6" w14:textId="7610E1EF" w:rsidR="00854253" w:rsidRPr="004B229B" w:rsidRDefault="00795A40">
            <w:pPr>
              <w:rPr>
                <w:szCs w:val="24"/>
              </w:rPr>
            </w:pPr>
            <w:r>
              <w:rPr>
                <w:b/>
                <w:szCs w:val="24"/>
              </w:rPr>
              <w:t>15.</w:t>
            </w:r>
            <w:r w:rsidR="00DD0E26" w:rsidRPr="004B229B">
              <w:rPr>
                <w:b/>
                <w:szCs w:val="24"/>
              </w:rPr>
              <w:t xml:space="preserve"> </w:t>
            </w:r>
            <w:r w:rsidR="0018209F" w:rsidRPr="004B229B">
              <w:rPr>
                <w:b/>
                <w:szCs w:val="24"/>
              </w:rPr>
              <w:t xml:space="preserve"> Kiti reikalavimai</w:t>
            </w:r>
          </w:p>
        </w:tc>
      </w:tr>
      <w:tr w:rsidR="00854253" w:rsidRPr="004B229B" w14:paraId="23238739" w14:textId="77777777" w:rsidTr="00561B47">
        <w:tc>
          <w:tcPr>
            <w:tcW w:w="15452" w:type="dxa"/>
          </w:tcPr>
          <w:p w14:paraId="24D1E3F9" w14:textId="2B0C88A4" w:rsidR="00854253" w:rsidRPr="004B229B" w:rsidRDefault="00037A26">
            <w:pPr>
              <w:tabs>
                <w:tab w:val="left" w:pos="731"/>
              </w:tabs>
              <w:ind w:left="22" w:hanging="22"/>
              <w:jc w:val="both"/>
            </w:pPr>
            <w:r>
              <w:rPr>
                <w:szCs w:val="24"/>
              </w:rPr>
              <w:t>15.1.</w:t>
            </w:r>
            <w:r w:rsidRPr="004B229B">
              <w:rPr>
                <w:szCs w:val="24"/>
              </w:rPr>
              <w:t xml:space="preserve"> </w:t>
            </w:r>
            <w:r w:rsidR="003D0508" w:rsidRPr="003D0508">
              <w:rPr>
                <w:szCs w:val="24"/>
              </w:rPr>
              <w:t>Jungtinio projekto vykdytojas (t. y. ESFA) įgyvendindamas projektą, kurio bendra vertė viršija 10 000 000 EUR (dešimt milijonų eurų), vadovaudamasis Projektų taisyklių 341.5 papunkčiu, privalo užtikrinti, kad bus surengtas komunikacijos renginys ar įgyvendinta kita komunikacijos veikla laiku pakviečiant ar įtraukiant Europos Komisijos ir vadovaujančiosios institucijos atstovus.</w:t>
            </w:r>
          </w:p>
        </w:tc>
      </w:tr>
    </w:tbl>
    <w:p w14:paraId="549DBA5B" w14:textId="77777777" w:rsidR="00854253" w:rsidRDefault="00854253">
      <w:pPr>
        <w:spacing w:line="276" w:lineRule="auto"/>
        <w:jc w:val="center"/>
        <w:rPr>
          <w:rFonts w:eastAsia="Calibri"/>
          <w:sz w:val="22"/>
          <w:szCs w:val="22"/>
        </w:rPr>
      </w:pPr>
    </w:p>
    <w:p w14:paraId="12CE9EFB" w14:textId="77777777" w:rsidR="009462FF" w:rsidRPr="005F6F0B" w:rsidRDefault="009462FF" w:rsidP="009462FF">
      <w:pPr>
        <w:jc w:val="center"/>
        <w:rPr>
          <w:b/>
          <w:szCs w:val="24"/>
        </w:rPr>
      </w:pPr>
      <w:r w:rsidRPr="005F6F0B">
        <w:rPr>
          <w:b/>
          <w:szCs w:val="24"/>
        </w:rPr>
        <w:t>III SKYRIUS</w:t>
      </w:r>
    </w:p>
    <w:p w14:paraId="1BB5B46A" w14:textId="77777777" w:rsidR="009462FF" w:rsidRPr="005F6F0B" w:rsidRDefault="009462FF" w:rsidP="009462FF">
      <w:pPr>
        <w:jc w:val="center"/>
        <w:rPr>
          <w:b/>
          <w:szCs w:val="24"/>
        </w:rPr>
      </w:pPr>
      <w:r w:rsidRPr="005F6F0B">
        <w:rPr>
          <w:b/>
          <w:szCs w:val="24"/>
        </w:rPr>
        <w:t>IŠLAIDŲ TINKAMUMO FINANSUOTI REIKALAVIMAI</w:t>
      </w:r>
    </w:p>
    <w:p w14:paraId="42031BAC" w14:textId="77777777" w:rsidR="00854253" w:rsidRDefault="00854253">
      <w:pPr>
        <w:rPr>
          <w:sz w:val="18"/>
          <w:szCs w:val="18"/>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2"/>
      </w:tblGrid>
      <w:tr w:rsidR="00795A40" w:rsidRPr="004B229B" w14:paraId="64982BBA" w14:textId="77777777" w:rsidTr="00B9430D">
        <w:tc>
          <w:tcPr>
            <w:tcW w:w="15452" w:type="dxa"/>
          </w:tcPr>
          <w:p w14:paraId="4CE0BBF9" w14:textId="23DA2C48" w:rsidR="00795A40" w:rsidRPr="004B229B" w:rsidRDefault="009462FF" w:rsidP="00B9430D">
            <w:pPr>
              <w:jc w:val="both"/>
              <w:rPr>
                <w:b/>
                <w:szCs w:val="24"/>
              </w:rPr>
            </w:pPr>
            <w:r>
              <w:rPr>
                <w:b/>
                <w:szCs w:val="24"/>
              </w:rPr>
              <w:t>16.</w:t>
            </w:r>
            <w:r w:rsidR="00795A40" w:rsidRPr="004B229B">
              <w:rPr>
                <w:b/>
                <w:szCs w:val="24"/>
              </w:rPr>
              <w:t xml:space="preserve"> Išlaidų tinkamumo finansuoti reikalavimai</w:t>
            </w:r>
          </w:p>
        </w:tc>
      </w:tr>
      <w:tr w:rsidR="00795A40" w:rsidRPr="004B229B" w14:paraId="6BF62A40" w14:textId="77777777" w:rsidTr="00B9430D">
        <w:tc>
          <w:tcPr>
            <w:tcW w:w="15452" w:type="dxa"/>
          </w:tcPr>
          <w:p w14:paraId="57CAF1F9" w14:textId="0DF897FF" w:rsidR="00B74AB2" w:rsidRDefault="00B74AB2" w:rsidP="00B74AB2">
            <w:pPr>
              <w:tabs>
                <w:tab w:val="left" w:pos="645"/>
              </w:tabs>
              <w:ind w:left="22" w:hanging="22"/>
              <w:jc w:val="both"/>
            </w:pPr>
            <w:r>
              <w:t>16.1</w:t>
            </w:r>
            <w:r w:rsidR="00BC4036">
              <w:t>.</w:t>
            </w:r>
            <w:r w:rsidR="00795A40" w:rsidRPr="004B229B">
              <w:t xml:space="preserve"> </w:t>
            </w:r>
            <w:r>
              <w:t xml:space="preserve">Projektų išlaidos turi atitikti Projektų  taisyklių VII skyriuje „Projektų išlaidų reikalavimai“ išdėstytus projektų išlaidoms taikomus reikalavimus. </w:t>
            </w:r>
          </w:p>
          <w:p w14:paraId="01D71902" w14:textId="14EBCB56" w:rsidR="00B74AB2" w:rsidRDefault="00B74AB2" w:rsidP="00B74AB2">
            <w:pPr>
              <w:tabs>
                <w:tab w:val="left" w:pos="645"/>
              </w:tabs>
              <w:ind w:left="22" w:hanging="22"/>
              <w:jc w:val="both"/>
            </w:pPr>
            <w:r>
              <w:t>16.2.</w:t>
            </w:r>
            <w:r w:rsidRPr="004B229B">
              <w:t xml:space="preserve"> </w:t>
            </w:r>
            <w:r>
              <w:t xml:space="preserve">Pagal Aprašą teikiamo finansavimo forma – dotacija. </w:t>
            </w:r>
          </w:p>
          <w:p w14:paraId="7CFD4E39" w14:textId="5CB05C67" w:rsidR="00795A40" w:rsidRPr="004B229B" w:rsidRDefault="00B74AB2" w:rsidP="00B74AB2">
            <w:pPr>
              <w:tabs>
                <w:tab w:val="left" w:pos="645"/>
              </w:tabs>
              <w:ind w:left="22" w:hanging="22"/>
              <w:jc w:val="both"/>
              <w:rPr>
                <w:rFonts w:eastAsia="Segoe UI"/>
              </w:rPr>
            </w:pPr>
            <w:r>
              <w:t>16.3.</w:t>
            </w:r>
            <w:r w:rsidRPr="004B229B">
              <w:t xml:space="preserve"> </w:t>
            </w:r>
            <w:r>
              <w:t>Pagal Aprašą projektui įgyvendinti skiriama iki 21 294 386,00 Eur (dvidešimt vieno milijono dviejų šimtų devyniasdešimt keturių tūkstančių trijų šimtų aštuoniasdešimt šešių eurų 00 ct) EGADP lėšų ir ne daugiau kaip 145 769,00 Eur (vienas šimtas keturiasdešimt penki tūkstančiai septyni šimtai šešiasdešimt devyni eurai 00 ct) Lietuvos Respublikos valstybės biudžeto lėšų pridėtinės vertės mokesčiui (toliau – PVM) kompensuoti.</w:t>
            </w:r>
            <w:r w:rsidR="00A33FE3">
              <w:t>16.4.</w:t>
            </w:r>
            <w:r>
              <w:t>Pagal Aprašą tinkamų finansuoti išlaidų rūšys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5540"/>
              <w:gridCol w:w="7938"/>
            </w:tblGrid>
            <w:tr w:rsidR="00A97EA5" w14:paraId="561E0C55"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530E7EAF" w14:textId="77777777" w:rsidR="00A97EA5" w:rsidRDefault="00A97EA5" w:rsidP="00A97EA5">
                  <w:pPr>
                    <w:jc w:val="center"/>
                    <w:rPr>
                      <w:b/>
                      <w:szCs w:val="22"/>
                    </w:rPr>
                  </w:pPr>
                  <w:r>
                    <w:rPr>
                      <w:b/>
                      <w:sz w:val="22"/>
                      <w:szCs w:val="22"/>
                    </w:rPr>
                    <w:t>Eil. Nr.</w:t>
                  </w:r>
                </w:p>
              </w:tc>
              <w:tc>
                <w:tcPr>
                  <w:tcW w:w="5540" w:type="dxa"/>
                  <w:tcBorders>
                    <w:top w:val="single" w:sz="4" w:space="0" w:color="auto"/>
                    <w:left w:val="single" w:sz="4" w:space="0" w:color="auto"/>
                    <w:bottom w:val="single" w:sz="4" w:space="0" w:color="auto"/>
                    <w:right w:val="single" w:sz="4" w:space="0" w:color="auto"/>
                  </w:tcBorders>
                  <w:hideMark/>
                </w:tcPr>
                <w:p w14:paraId="6E1EF13D" w14:textId="77777777" w:rsidR="00A97EA5" w:rsidRDefault="00A97EA5" w:rsidP="00A97EA5">
                  <w:pPr>
                    <w:jc w:val="center"/>
                    <w:rPr>
                      <w:b/>
                      <w:szCs w:val="22"/>
                    </w:rPr>
                  </w:pPr>
                  <w:r>
                    <w:rPr>
                      <w:b/>
                      <w:sz w:val="22"/>
                      <w:szCs w:val="22"/>
                    </w:rPr>
                    <w:t>Išlaidų rūšis</w:t>
                  </w:r>
                </w:p>
              </w:tc>
              <w:tc>
                <w:tcPr>
                  <w:tcW w:w="7938" w:type="dxa"/>
                  <w:tcBorders>
                    <w:top w:val="single" w:sz="4" w:space="0" w:color="auto"/>
                    <w:left w:val="single" w:sz="4" w:space="0" w:color="auto"/>
                    <w:bottom w:val="single" w:sz="4" w:space="0" w:color="auto"/>
                    <w:right w:val="single" w:sz="4" w:space="0" w:color="auto"/>
                  </w:tcBorders>
                  <w:hideMark/>
                </w:tcPr>
                <w:p w14:paraId="3419A00E" w14:textId="77777777" w:rsidR="00A97EA5" w:rsidRDefault="00A97EA5" w:rsidP="00A97EA5">
                  <w:pPr>
                    <w:jc w:val="center"/>
                    <w:rPr>
                      <w:b/>
                      <w:szCs w:val="22"/>
                    </w:rPr>
                  </w:pPr>
                  <w:r>
                    <w:rPr>
                      <w:b/>
                      <w:sz w:val="22"/>
                      <w:szCs w:val="22"/>
                    </w:rPr>
                    <w:t>Reikalavimai ir paaiškinimai</w:t>
                  </w:r>
                </w:p>
              </w:tc>
            </w:tr>
            <w:tr w:rsidR="00A97EA5" w14:paraId="4D5514B7"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59CBEB26" w14:textId="77777777" w:rsidR="00A97EA5" w:rsidRDefault="00A97EA5" w:rsidP="00A97EA5">
                  <w:pPr>
                    <w:jc w:val="both"/>
                    <w:rPr>
                      <w:bCs/>
                      <w:szCs w:val="22"/>
                    </w:rPr>
                  </w:pPr>
                  <w:r>
                    <w:rPr>
                      <w:bCs/>
                      <w:sz w:val="22"/>
                      <w:szCs w:val="22"/>
                    </w:rPr>
                    <w:t>1.</w:t>
                  </w:r>
                </w:p>
              </w:tc>
              <w:tc>
                <w:tcPr>
                  <w:tcW w:w="5540" w:type="dxa"/>
                  <w:tcBorders>
                    <w:top w:val="single" w:sz="4" w:space="0" w:color="auto"/>
                    <w:left w:val="single" w:sz="4" w:space="0" w:color="auto"/>
                    <w:bottom w:val="single" w:sz="4" w:space="0" w:color="auto"/>
                    <w:right w:val="single" w:sz="4" w:space="0" w:color="auto"/>
                  </w:tcBorders>
                  <w:hideMark/>
                </w:tcPr>
                <w:p w14:paraId="7F08FB93" w14:textId="77777777" w:rsidR="00A97EA5" w:rsidRDefault="00A97EA5" w:rsidP="00A97EA5">
                  <w:pPr>
                    <w:jc w:val="both"/>
                    <w:rPr>
                      <w:bCs/>
                      <w:szCs w:val="22"/>
                    </w:rPr>
                  </w:pPr>
                  <w:r>
                    <w:rPr>
                      <w:bCs/>
                      <w:sz w:val="22"/>
                      <w:szCs w:val="22"/>
                    </w:rPr>
                    <w:t>Žemė</w:t>
                  </w:r>
                </w:p>
              </w:tc>
              <w:tc>
                <w:tcPr>
                  <w:tcW w:w="7938" w:type="dxa"/>
                  <w:tcBorders>
                    <w:top w:val="single" w:sz="4" w:space="0" w:color="auto"/>
                    <w:left w:val="single" w:sz="4" w:space="0" w:color="auto"/>
                    <w:bottom w:val="single" w:sz="4" w:space="0" w:color="auto"/>
                    <w:right w:val="single" w:sz="4" w:space="0" w:color="auto"/>
                  </w:tcBorders>
                  <w:hideMark/>
                </w:tcPr>
                <w:p w14:paraId="16A83063" w14:textId="77777777" w:rsidR="00A97EA5" w:rsidRDefault="00A97EA5" w:rsidP="00A97EA5">
                  <w:pPr>
                    <w:jc w:val="both"/>
                    <w:rPr>
                      <w:bCs/>
                      <w:szCs w:val="22"/>
                    </w:rPr>
                  </w:pPr>
                  <w:r>
                    <w:rPr>
                      <w:bCs/>
                      <w:sz w:val="22"/>
                      <w:szCs w:val="22"/>
                    </w:rPr>
                    <w:t>Netinkama finansuoti.</w:t>
                  </w:r>
                </w:p>
              </w:tc>
            </w:tr>
            <w:tr w:rsidR="00A97EA5" w14:paraId="5E62A544"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540886A6" w14:textId="77777777" w:rsidR="00A97EA5" w:rsidRDefault="00A97EA5" w:rsidP="00A97EA5">
                  <w:pPr>
                    <w:jc w:val="both"/>
                    <w:rPr>
                      <w:bCs/>
                      <w:szCs w:val="22"/>
                    </w:rPr>
                  </w:pPr>
                  <w:r>
                    <w:rPr>
                      <w:bCs/>
                      <w:sz w:val="22"/>
                      <w:szCs w:val="22"/>
                    </w:rPr>
                    <w:t>2.</w:t>
                  </w:r>
                </w:p>
              </w:tc>
              <w:tc>
                <w:tcPr>
                  <w:tcW w:w="5540" w:type="dxa"/>
                  <w:tcBorders>
                    <w:top w:val="single" w:sz="4" w:space="0" w:color="auto"/>
                    <w:left w:val="single" w:sz="4" w:space="0" w:color="auto"/>
                    <w:bottom w:val="single" w:sz="4" w:space="0" w:color="auto"/>
                    <w:right w:val="single" w:sz="4" w:space="0" w:color="auto"/>
                  </w:tcBorders>
                  <w:hideMark/>
                </w:tcPr>
                <w:p w14:paraId="662263CC" w14:textId="77777777" w:rsidR="00A97EA5" w:rsidRDefault="00A97EA5" w:rsidP="00A97EA5">
                  <w:pPr>
                    <w:jc w:val="both"/>
                    <w:rPr>
                      <w:bCs/>
                      <w:szCs w:val="22"/>
                    </w:rPr>
                  </w:pPr>
                  <w:r>
                    <w:rPr>
                      <w:sz w:val="22"/>
                      <w:szCs w:val="22"/>
                      <w:lang w:eastAsia="lt-LT"/>
                    </w:rPr>
                    <w:t>Nekilnojamasis turtas</w:t>
                  </w:r>
                </w:p>
              </w:tc>
              <w:tc>
                <w:tcPr>
                  <w:tcW w:w="7938" w:type="dxa"/>
                  <w:tcBorders>
                    <w:top w:val="single" w:sz="4" w:space="0" w:color="auto"/>
                    <w:left w:val="single" w:sz="4" w:space="0" w:color="auto"/>
                    <w:bottom w:val="single" w:sz="4" w:space="0" w:color="auto"/>
                    <w:right w:val="single" w:sz="4" w:space="0" w:color="auto"/>
                  </w:tcBorders>
                  <w:hideMark/>
                </w:tcPr>
                <w:p w14:paraId="505B6C9D" w14:textId="77777777" w:rsidR="00A97EA5" w:rsidRDefault="00A97EA5" w:rsidP="00A97EA5">
                  <w:pPr>
                    <w:jc w:val="both"/>
                    <w:rPr>
                      <w:bCs/>
                      <w:szCs w:val="22"/>
                    </w:rPr>
                  </w:pPr>
                  <w:r>
                    <w:rPr>
                      <w:bCs/>
                      <w:sz w:val="22"/>
                      <w:szCs w:val="22"/>
                    </w:rPr>
                    <w:t>Netinkama finansuoti.</w:t>
                  </w:r>
                </w:p>
              </w:tc>
            </w:tr>
            <w:tr w:rsidR="00A97EA5" w14:paraId="4E52BAE6"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096B0091" w14:textId="77777777" w:rsidR="00A97EA5" w:rsidRDefault="00A97EA5" w:rsidP="00A97EA5">
                  <w:pPr>
                    <w:jc w:val="both"/>
                    <w:rPr>
                      <w:bCs/>
                      <w:szCs w:val="22"/>
                    </w:rPr>
                  </w:pPr>
                  <w:r>
                    <w:rPr>
                      <w:bCs/>
                      <w:sz w:val="22"/>
                      <w:szCs w:val="22"/>
                    </w:rPr>
                    <w:t>3.</w:t>
                  </w:r>
                </w:p>
              </w:tc>
              <w:tc>
                <w:tcPr>
                  <w:tcW w:w="5540" w:type="dxa"/>
                  <w:tcBorders>
                    <w:top w:val="single" w:sz="4" w:space="0" w:color="auto"/>
                    <w:left w:val="single" w:sz="4" w:space="0" w:color="auto"/>
                    <w:bottom w:val="single" w:sz="4" w:space="0" w:color="auto"/>
                    <w:right w:val="single" w:sz="4" w:space="0" w:color="auto"/>
                  </w:tcBorders>
                  <w:hideMark/>
                </w:tcPr>
                <w:p w14:paraId="69016C80" w14:textId="77777777" w:rsidR="00A97EA5" w:rsidRDefault="00A97EA5" w:rsidP="00A97EA5">
                  <w:pPr>
                    <w:jc w:val="both"/>
                    <w:rPr>
                      <w:szCs w:val="22"/>
                      <w:lang w:eastAsia="lt-LT"/>
                    </w:rPr>
                  </w:pPr>
                  <w:r>
                    <w:rPr>
                      <w:sz w:val="22"/>
                      <w:szCs w:val="22"/>
                      <w:lang w:eastAsia="lt-LT"/>
                    </w:rPr>
                    <w:t>Statyba, rekonstravimas, remontas ir kiti darbai</w:t>
                  </w:r>
                </w:p>
              </w:tc>
              <w:tc>
                <w:tcPr>
                  <w:tcW w:w="7938" w:type="dxa"/>
                  <w:tcBorders>
                    <w:top w:val="single" w:sz="4" w:space="0" w:color="auto"/>
                    <w:left w:val="single" w:sz="4" w:space="0" w:color="auto"/>
                    <w:bottom w:val="single" w:sz="4" w:space="0" w:color="auto"/>
                    <w:right w:val="single" w:sz="4" w:space="0" w:color="auto"/>
                  </w:tcBorders>
                  <w:hideMark/>
                </w:tcPr>
                <w:p w14:paraId="76AC62AF" w14:textId="77777777" w:rsidR="00A97EA5" w:rsidRDefault="00A97EA5" w:rsidP="00A97EA5">
                  <w:pPr>
                    <w:jc w:val="both"/>
                    <w:rPr>
                      <w:bCs/>
                      <w:szCs w:val="22"/>
                    </w:rPr>
                  </w:pPr>
                  <w:r>
                    <w:rPr>
                      <w:bCs/>
                      <w:sz w:val="22"/>
                      <w:szCs w:val="22"/>
                    </w:rPr>
                    <w:t>Netinkama finansuoti.</w:t>
                  </w:r>
                </w:p>
              </w:tc>
            </w:tr>
            <w:tr w:rsidR="00A97EA5" w14:paraId="543D46DC"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56D8F5FA" w14:textId="77777777" w:rsidR="00A97EA5" w:rsidRDefault="00A97EA5" w:rsidP="00A97EA5">
                  <w:pPr>
                    <w:jc w:val="both"/>
                    <w:rPr>
                      <w:bCs/>
                      <w:szCs w:val="22"/>
                    </w:rPr>
                  </w:pPr>
                  <w:r>
                    <w:rPr>
                      <w:bCs/>
                      <w:sz w:val="22"/>
                      <w:szCs w:val="22"/>
                    </w:rPr>
                    <w:t>4.</w:t>
                  </w:r>
                </w:p>
              </w:tc>
              <w:tc>
                <w:tcPr>
                  <w:tcW w:w="5540" w:type="dxa"/>
                  <w:tcBorders>
                    <w:top w:val="single" w:sz="4" w:space="0" w:color="auto"/>
                    <w:left w:val="single" w:sz="4" w:space="0" w:color="auto"/>
                    <w:bottom w:val="single" w:sz="4" w:space="0" w:color="auto"/>
                    <w:right w:val="single" w:sz="4" w:space="0" w:color="auto"/>
                  </w:tcBorders>
                  <w:hideMark/>
                </w:tcPr>
                <w:p w14:paraId="5C614B4A" w14:textId="77777777" w:rsidR="00A97EA5" w:rsidRDefault="00A97EA5" w:rsidP="00A97EA5">
                  <w:pPr>
                    <w:jc w:val="both"/>
                    <w:rPr>
                      <w:szCs w:val="22"/>
                      <w:lang w:eastAsia="lt-LT"/>
                    </w:rPr>
                  </w:pPr>
                  <w:r>
                    <w:rPr>
                      <w:sz w:val="22"/>
                      <w:szCs w:val="22"/>
                      <w:lang w:eastAsia="lt-LT"/>
                    </w:rPr>
                    <w:t>Įranga, įrenginiai ir kitas turtas</w:t>
                  </w:r>
                </w:p>
              </w:tc>
              <w:tc>
                <w:tcPr>
                  <w:tcW w:w="7938" w:type="dxa"/>
                  <w:tcBorders>
                    <w:top w:val="single" w:sz="4" w:space="0" w:color="auto"/>
                    <w:left w:val="single" w:sz="4" w:space="0" w:color="auto"/>
                    <w:bottom w:val="single" w:sz="4" w:space="0" w:color="auto"/>
                    <w:right w:val="single" w:sz="4" w:space="0" w:color="auto"/>
                  </w:tcBorders>
                  <w:hideMark/>
                </w:tcPr>
                <w:p w14:paraId="1B923D10" w14:textId="77777777" w:rsidR="00A97EA5" w:rsidRDefault="00A97EA5" w:rsidP="00A97EA5">
                  <w:pPr>
                    <w:jc w:val="both"/>
                    <w:rPr>
                      <w:bCs/>
                      <w:szCs w:val="22"/>
                    </w:rPr>
                  </w:pPr>
                  <w:r>
                    <w:rPr>
                      <w:bCs/>
                      <w:sz w:val="22"/>
                      <w:szCs w:val="22"/>
                    </w:rPr>
                    <w:t>Netinkama finansuoti.</w:t>
                  </w:r>
                </w:p>
              </w:tc>
            </w:tr>
            <w:tr w:rsidR="00A97EA5" w14:paraId="5C1DBD05"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4DD43AAA" w14:textId="77777777" w:rsidR="00A97EA5" w:rsidRDefault="00A97EA5" w:rsidP="00A97EA5">
                  <w:pPr>
                    <w:jc w:val="both"/>
                    <w:rPr>
                      <w:bCs/>
                      <w:szCs w:val="22"/>
                    </w:rPr>
                  </w:pPr>
                  <w:r>
                    <w:rPr>
                      <w:bCs/>
                      <w:sz w:val="22"/>
                      <w:szCs w:val="22"/>
                    </w:rPr>
                    <w:t>5.</w:t>
                  </w:r>
                </w:p>
              </w:tc>
              <w:tc>
                <w:tcPr>
                  <w:tcW w:w="5540" w:type="dxa"/>
                  <w:tcBorders>
                    <w:top w:val="single" w:sz="4" w:space="0" w:color="auto"/>
                    <w:left w:val="single" w:sz="4" w:space="0" w:color="auto"/>
                    <w:bottom w:val="single" w:sz="4" w:space="0" w:color="auto"/>
                    <w:right w:val="single" w:sz="4" w:space="0" w:color="auto"/>
                  </w:tcBorders>
                  <w:hideMark/>
                </w:tcPr>
                <w:p w14:paraId="61DB764E" w14:textId="77777777" w:rsidR="00A97EA5" w:rsidRDefault="00A97EA5" w:rsidP="00A97EA5">
                  <w:pPr>
                    <w:jc w:val="both"/>
                    <w:rPr>
                      <w:szCs w:val="22"/>
                      <w:lang w:eastAsia="lt-LT"/>
                    </w:rPr>
                  </w:pPr>
                  <w:r>
                    <w:rPr>
                      <w:sz w:val="22"/>
                      <w:szCs w:val="22"/>
                      <w:lang w:eastAsia="lt-LT"/>
                    </w:rPr>
                    <w:t>Projekto vykdymas (paslaugos ir darbo užmokestis)</w:t>
                  </w:r>
                </w:p>
              </w:tc>
              <w:tc>
                <w:tcPr>
                  <w:tcW w:w="7938" w:type="dxa"/>
                  <w:tcBorders>
                    <w:top w:val="single" w:sz="4" w:space="0" w:color="auto"/>
                    <w:left w:val="single" w:sz="4" w:space="0" w:color="auto"/>
                    <w:bottom w:val="single" w:sz="4" w:space="0" w:color="auto"/>
                    <w:right w:val="single" w:sz="4" w:space="0" w:color="auto"/>
                  </w:tcBorders>
                </w:tcPr>
                <w:p w14:paraId="3B56736A" w14:textId="77777777" w:rsidR="00A97EA5" w:rsidRDefault="00A97EA5" w:rsidP="00A97EA5">
                  <w:pPr>
                    <w:jc w:val="both"/>
                    <w:rPr>
                      <w:color w:val="000000"/>
                      <w:szCs w:val="22"/>
                      <w:shd w:val="clear" w:color="auto" w:fill="FFFFFF"/>
                    </w:rPr>
                  </w:pPr>
                  <w:r>
                    <w:rPr>
                      <w:color w:val="000000"/>
                      <w:sz w:val="22"/>
                      <w:szCs w:val="22"/>
                      <w:shd w:val="clear" w:color="auto" w:fill="FFFFFF"/>
                    </w:rPr>
                    <w:t>Jungtiniam projektui (t. y. ESFA) tinkamos finansuoti išlaidos:</w:t>
                  </w:r>
                </w:p>
                <w:p w14:paraId="7E96849E" w14:textId="77777777" w:rsidR="00A97EA5" w:rsidRDefault="00A97EA5" w:rsidP="00A97EA5">
                  <w:pPr>
                    <w:rPr>
                      <w:sz w:val="6"/>
                      <w:szCs w:val="6"/>
                    </w:rPr>
                  </w:pPr>
                </w:p>
                <w:p w14:paraId="6F6A9CCE" w14:textId="77777777" w:rsidR="00A97EA5" w:rsidRDefault="00A97EA5" w:rsidP="00A97EA5">
                  <w:pPr>
                    <w:jc w:val="both"/>
                    <w:rPr>
                      <w:bCs/>
                      <w:szCs w:val="22"/>
                    </w:rPr>
                  </w:pPr>
                  <w:r>
                    <w:rPr>
                      <w:sz w:val="22"/>
                      <w:szCs w:val="22"/>
                    </w:rPr>
                    <w:t xml:space="preserve">JP projektų išlaidos. </w:t>
                  </w:r>
                </w:p>
                <w:p w14:paraId="680E6AF8" w14:textId="77777777" w:rsidR="00A97EA5" w:rsidRDefault="00A97EA5" w:rsidP="00A97EA5">
                  <w:pPr>
                    <w:jc w:val="both"/>
                    <w:rPr>
                      <w:bCs/>
                      <w:sz w:val="10"/>
                      <w:szCs w:val="10"/>
                    </w:rPr>
                  </w:pPr>
                </w:p>
                <w:p w14:paraId="0C2A87BC" w14:textId="77777777" w:rsidR="00A97EA5" w:rsidRDefault="00A97EA5" w:rsidP="00A97EA5">
                  <w:pPr>
                    <w:jc w:val="both"/>
                    <w:rPr>
                      <w:bCs/>
                      <w:szCs w:val="22"/>
                    </w:rPr>
                  </w:pPr>
                  <w:r>
                    <w:rPr>
                      <w:bCs/>
                      <w:sz w:val="22"/>
                      <w:szCs w:val="22"/>
                    </w:rPr>
                    <w:t>JP projektų tinkamos finansuoti išlaidos:</w:t>
                  </w:r>
                </w:p>
                <w:p w14:paraId="56A5F064" w14:textId="77777777" w:rsidR="00A97EA5" w:rsidRDefault="00A97EA5" w:rsidP="00A97EA5">
                  <w:pPr>
                    <w:rPr>
                      <w:sz w:val="6"/>
                      <w:szCs w:val="6"/>
                    </w:rPr>
                  </w:pPr>
                </w:p>
                <w:p w14:paraId="370415E7" w14:textId="77777777" w:rsidR="00A97EA5" w:rsidRDefault="00A97EA5" w:rsidP="00A97EA5">
                  <w:pPr>
                    <w:jc w:val="both"/>
                    <w:rPr>
                      <w:szCs w:val="22"/>
                    </w:rPr>
                  </w:pPr>
                  <w:r>
                    <w:rPr>
                      <w:bCs/>
                      <w:sz w:val="22"/>
                      <w:szCs w:val="22"/>
                    </w:rPr>
                    <w:t xml:space="preserve">pameistrystės išlaidos, kurios apmokamos pagal </w:t>
                  </w:r>
                  <w:r>
                    <w:rPr>
                      <w:sz w:val="22"/>
                      <w:szCs w:val="22"/>
                    </w:rPr>
                    <w:t xml:space="preserve">Profesinio mokymo pagal pameistrystės formą išlaidų fiksuotųjų vieneto įkainių nustatymo tyrimą. </w:t>
                  </w:r>
                </w:p>
                <w:p w14:paraId="32C91623" w14:textId="77777777" w:rsidR="00A97EA5" w:rsidRDefault="00A97EA5" w:rsidP="00A97EA5">
                  <w:pPr>
                    <w:jc w:val="both"/>
                    <w:rPr>
                      <w:b/>
                      <w:bCs/>
                      <w:sz w:val="8"/>
                      <w:szCs w:val="8"/>
                    </w:rPr>
                  </w:pPr>
                </w:p>
                <w:p w14:paraId="676300AC" w14:textId="77777777" w:rsidR="00A97EA5" w:rsidRDefault="00A97EA5" w:rsidP="00A97EA5">
                  <w:pPr>
                    <w:jc w:val="both"/>
                    <w:rPr>
                      <w:b/>
                      <w:bCs/>
                      <w:szCs w:val="22"/>
                    </w:rPr>
                  </w:pPr>
                  <w:r>
                    <w:rPr>
                      <w:color w:val="000000"/>
                      <w:sz w:val="22"/>
                      <w:szCs w:val="22"/>
                      <w:shd w:val="clear" w:color="auto" w:fill="FFFFFF"/>
                    </w:rPr>
                    <w:t>Kitos išlaidos netinkamos finansuoti.</w:t>
                  </w:r>
                </w:p>
              </w:tc>
            </w:tr>
            <w:tr w:rsidR="00A97EA5" w14:paraId="50259B82" w14:textId="77777777" w:rsidTr="00361FC4">
              <w:trPr>
                <w:trHeight w:val="1058"/>
              </w:trPr>
              <w:tc>
                <w:tcPr>
                  <w:tcW w:w="868" w:type="dxa"/>
                  <w:tcBorders>
                    <w:top w:val="single" w:sz="4" w:space="0" w:color="auto"/>
                    <w:left w:val="single" w:sz="4" w:space="0" w:color="auto"/>
                    <w:bottom w:val="single" w:sz="4" w:space="0" w:color="auto"/>
                    <w:right w:val="single" w:sz="4" w:space="0" w:color="auto"/>
                  </w:tcBorders>
                  <w:hideMark/>
                </w:tcPr>
                <w:p w14:paraId="7BE9504A" w14:textId="77777777" w:rsidR="00A97EA5" w:rsidRDefault="00A97EA5" w:rsidP="00A97EA5">
                  <w:pPr>
                    <w:jc w:val="both"/>
                    <w:rPr>
                      <w:bCs/>
                      <w:szCs w:val="22"/>
                    </w:rPr>
                  </w:pPr>
                  <w:r>
                    <w:rPr>
                      <w:bCs/>
                      <w:sz w:val="22"/>
                      <w:szCs w:val="22"/>
                    </w:rPr>
                    <w:lastRenderedPageBreak/>
                    <w:t>6.</w:t>
                  </w:r>
                </w:p>
              </w:tc>
              <w:tc>
                <w:tcPr>
                  <w:tcW w:w="5540" w:type="dxa"/>
                  <w:tcBorders>
                    <w:top w:val="single" w:sz="4" w:space="0" w:color="auto"/>
                    <w:left w:val="single" w:sz="4" w:space="0" w:color="auto"/>
                    <w:bottom w:val="single" w:sz="4" w:space="0" w:color="auto"/>
                    <w:right w:val="single" w:sz="4" w:space="0" w:color="auto"/>
                  </w:tcBorders>
                  <w:hideMark/>
                </w:tcPr>
                <w:p w14:paraId="40BA212B" w14:textId="77777777" w:rsidR="00A97EA5" w:rsidRDefault="00A97EA5" w:rsidP="00A97EA5">
                  <w:pPr>
                    <w:jc w:val="both"/>
                    <w:rPr>
                      <w:szCs w:val="22"/>
                      <w:lang w:eastAsia="lt-LT"/>
                    </w:rPr>
                  </w:pPr>
                  <w:r>
                    <w:rPr>
                      <w:sz w:val="22"/>
                      <w:szCs w:val="22"/>
                      <w:lang w:eastAsia="lt-LT"/>
                    </w:rPr>
                    <w:t>Informavimas apie projektą</w:t>
                  </w:r>
                </w:p>
              </w:tc>
              <w:tc>
                <w:tcPr>
                  <w:tcW w:w="7938" w:type="dxa"/>
                  <w:tcBorders>
                    <w:top w:val="single" w:sz="4" w:space="0" w:color="auto"/>
                    <w:left w:val="single" w:sz="4" w:space="0" w:color="auto"/>
                    <w:bottom w:val="single" w:sz="4" w:space="0" w:color="auto"/>
                    <w:right w:val="single" w:sz="4" w:space="0" w:color="auto"/>
                  </w:tcBorders>
                </w:tcPr>
                <w:p w14:paraId="3F9732E2" w14:textId="77777777" w:rsidR="00A97EA5" w:rsidRDefault="00A97EA5" w:rsidP="00A97EA5">
                  <w:pPr>
                    <w:jc w:val="both"/>
                    <w:rPr>
                      <w:bCs/>
                      <w:szCs w:val="22"/>
                    </w:rPr>
                  </w:pPr>
                  <w:r>
                    <w:rPr>
                      <w:bCs/>
                      <w:sz w:val="22"/>
                      <w:szCs w:val="22"/>
                    </w:rPr>
                    <w:t xml:space="preserve">Tinkamos finansuoti.  </w:t>
                  </w:r>
                </w:p>
                <w:p w14:paraId="2687CDC9" w14:textId="77777777" w:rsidR="00A97EA5" w:rsidRDefault="00A97EA5" w:rsidP="00A97EA5">
                  <w:pPr>
                    <w:rPr>
                      <w:sz w:val="6"/>
                      <w:szCs w:val="6"/>
                    </w:rPr>
                  </w:pPr>
                </w:p>
                <w:p w14:paraId="42EE6F03" w14:textId="4E125BA0" w:rsidR="00A97EA5" w:rsidRDefault="00A97EA5" w:rsidP="00A97EA5">
                  <w:pPr>
                    <w:tabs>
                      <w:tab w:val="left" w:pos="322"/>
                    </w:tabs>
                    <w:jc w:val="both"/>
                    <w:rPr>
                      <w:szCs w:val="22"/>
                    </w:rPr>
                  </w:pPr>
                  <w:r>
                    <w:rPr>
                      <w:bCs/>
                      <w:sz w:val="22"/>
                      <w:szCs w:val="22"/>
                    </w:rPr>
                    <w:t xml:space="preserve">Privalomos projektų matomumo ir informavimo apie projektus priemonės pagal </w:t>
                  </w:r>
                  <w:r>
                    <w:rPr>
                      <w:sz w:val="22"/>
                      <w:szCs w:val="22"/>
                    </w:rPr>
                    <w:t>Projektų taisyklių 341.1–341.5 papunkčius.</w:t>
                  </w:r>
                </w:p>
              </w:tc>
            </w:tr>
            <w:tr w:rsidR="00A97EA5" w14:paraId="23D660DD" w14:textId="77777777" w:rsidTr="00361FC4">
              <w:tc>
                <w:tcPr>
                  <w:tcW w:w="868" w:type="dxa"/>
                  <w:tcBorders>
                    <w:top w:val="single" w:sz="4" w:space="0" w:color="auto"/>
                    <w:left w:val="single" w:sz="4" w:space="0" w:color="auto"/>
                    <w:bottom w:val="single" w:sz="4" w:space="0" w:color="auto"/>
                    <w:right w:val="single" w:sz="4" w:space="0" w:color="auto"/>
                  </w:tcBorders>
                  <w:hideMark/>
                </w:tcPr>
                <w:p w14:paraId="4DCBA6C3" w14:textId="77777777" w:rsidR="00A97EA5" w:rsidRDefault="00A97EA5" w:rsidP="00A97EA5">
                  <w:pPr>
                    <w:jc w:val="both"/>
                    <w:rPr>
                      <w:bCs/>
                      <w:szCs w:val="22"/>
                    </w:rPr>
                  </w:pPr>
                  <w:r>
                    <w:rPr>
                      <w:bCs/>
                      <w:sz w:val="22"/>
                      <w:szCs w:val="22"/>
                    </w:rPr>
                    <w:t>7.</w:t>
                  </w:r>
                </w:p>
              </w:tc>
              <w:tc>
                <w:tcPr>
                  <w:tcW w:w="5540" w:type="dxa"/>
                  <w:tcBorders>
                    <w:top w:val="single" w:sz="4" w:space="0" w:color="auto"/>
                    <w:left w:val="single" w:sz="4" w:space="0" w:color="auto"/>
                    <w:bottom w:val="single" w:sz="4" w:space="0" w:color="auto"/>
                    <w:right w:val="single" w:sz="4" w:space="0" w:color="auto"/>
                  </w:tcBorders>
                  <w:hideMark/>
                </w:tcPr>
                <w:p w14:paraId="18C96D32" w14:textId="77777777" w:rsidR="00A97EA5" w:rsidRDefault="00A97EA5" w:rsidP="00A97EA5">
                  <w:pPr>
                    <w:jc w:val="both"/>
                    <w:rPr>
                      <w:szCs w:val="22"/>
                      <w:lang w:eastAsia="lt-LT"/>
                    </w:rPr>
                  </w:pPr>
                  <w:r>
                    <w:rPr>
                      <w:sz w:val="22"/>
                      <w:szCs w:val="22"/>
                      <w:lang w:eastAsia="lt-LT"/>
                    </w:rPr>
                    <w:t>Netiesioginės išlaidos ir kitos išlaidos pagal fiksuotąją projekto išlaidų normą</w:t>
                  </w:r>
                </w:p>
              </w:tc>
              <w:tc>
                <w:tcPr>
                  <w:tcW w:w="7938" w:type="dxa"/>
                  <w:tcBorders>
                    <w:top w:val="single" w:sz="4" w:space="0" w:color="auto"/>
                    <w:left w:val="single" w:sz="4" w:space="0" w:color="auto"/>
                    <w:bottom w:val="single" w:sz="4" w:space="0" w:color="auto"/>
                    <w:right w:val="single" w:sz="4" w:space="0" w:color="auto"/>
                  </w:tcBorders>
                  <w:hideMark/>
                </w:tcPr>
                <w:p w14:paraId="026ECF4A" w14:textId="77777777" w:rsidR="00A97EA5" w:rsidRDefault="00A97EA5" w:rsidP="00A97EA5">
                  <w:pPr>
                    <w:jc w:val="both"/>
                    <w:rPr>
                      <w:bCs/>
                      <w:szCs w:val="22"/>
                    </w:rPr>
                  </w:pPr>
                  <w:r>
                    <w:rPr>
                      <w:bCs/>
                      <w:sz w:val="22"/>
                      <w:szCs w:val="22"/>
                    </w:rPr>
                    <w:t xml:space="preserve">Tinkama finansuoti. </w:t>
                  </w:r>
                </w:p>
                <w:p w14:paraId="7012FF3B" w14:textId="39FE7378" w:rsidR="00A97EA5" w:rsidRDefault="00A97EA5" w:rsidP="00A97EA5">
                  <w:pPr>
                    <w:jc w:val="both"/>
                    <w:rPr>
                      <w:bCs/>
                      <w:szCs w:val="22"/>
                    </w:rPr>
                  </w:pPr>
                  <w:r>
                    <w:rPr>
                      <w:bCs/>
                      <w:sz w:val="22"/>
                      <w:szCs w:val="22"/>
                    </w:rPr>
                    <w:t xml:space="preserve">Išlaidos aptartos Aprašo </w:t>
                  </w:r>
                  <w:r w:rsidR="00D0625E">
                    <w:rPr>
                      <w:iCs/>
                      <w:szCs w:val="24"/>
                    </w:rPr>
                    <w:t>17.5</w:t>
                  </w:r>
                  <w:r w:rsidR="00D0625E" w:rsidRPr="00275E4D">
                    <w:rPr>
                      <w:iCs/>
                      <w:szCs w:val="24"/>
                    </w:rPr>
                    <w:t>.</w:t>
                  </w:r>
                  <w:r w:rsidR="00D0625E">
                    <w:rPr>
                      <w:iCs/>
                      <w:szCs w:val="24"/>
                    </w:rPr>
                    <w:t xml:space="preserve"> </w:t>
                  </w:r>
                  <w:r>
                    <w:rPr>
                      <w:bCs/>
                      <w:sz w:val="22"/>
                      <w:szCs w:val="22"/>
                    </w:rPr>
                    <w:t>papunktyje.</w:t>
                  </w:r>
                </w:p>
              </w:tc>
            </w:tr>
          </w:tbl>
          <w:p w14:paraId="79A9D6FA" w14:textId="77777777" w:rsidR="00795A40" w:rsidRDefault="00795A40" w:rsidP="00B9430D">
            <w:pPr>
              <w:jc w:val="both"/>
              <w:rPr>
                <w:rFonts w:eastAsia="Segoe UI"/>
                <w:color w:val="333333"/>
              </w:rPr>
            </w:pPr>
          </w:p>
          <w:p w14:paraId="661F4AB7" w14:textId="74D5B4E1" w:rsidR="0075015D" w:rsidRDefault="007D7044" w:rsidP="003F29FD">
            <w:pPr>
              <w:jc w:val="both"/>
              <w:rPr>
                <w:rFonts w:eastAsia="Segoe UI"/>
                <w:color w:val="333333"/>
              </w:rPr>
            </w:pPr>
            <w:r>
              <w:t>16.5.</w:t>
            </w:r>
            <w:r w:rsidRPr="004B229B">
              <w:t xml:space="preserve"> </w:t>
            </w:r>
            <w:r w:rsidR="003F29FD" w:rsidRPr="003F29FD">
              <w:rPr>
                <w:rFonts w:eastAsia="Segoe UI"/>
                <w:color w:val="333333"/>
              </w:rPr>
              <w:t>Didžiausia galima projektų finansuojamoji dalis sudaro 100 proc. visų tinkamų finansuoti projekto išlaidų. Nuosavu įnašu prisidėti nereikalaujama. Jungtinio projekto pareiškėjas ir (ar) JP projektų pareiškėjai savo iniciatyva ir savo ir (arba) kitų šaltinių lėšomis gali prisidėti prie projekto įgyvendinimo</w:t>
            </w:r>
            <w:r w:rsidR="0075015D">
              <w:rPr>
                <w:rFonts w:eastAsia="Segoe UI"/>
                <w:color w:val="333333"/>
              </w:rPr>
              <w:t>.</w:t>
            </w:r>
          </w:p>
          <w:p w14:paraId="539135C6" w14:textId="4589174C" w:rsidR="0075015D" w:rsidRDefault="007D7044" w:rsidP="003F29FD">
            <w:pPr>
              <w:jc w:val="both"/>
              <w:rPr>
                <w:rFonts w:eastAsia="Segoe UI"/>
                <w:color w:val="333333"/>
              </w:rPr>
            </w:pPr>
            <w:r>
              <w:t>16.6.</w:t>
            </w:r>
            <w:r w:rsidRPr="004B229B">
              <w:t xml:space="preserve"> </w:t>
            </w:r>
            <w:r w:rsidR="003F29FD" w:rsidRPr="003F29FD">
              <w:rPr>
                <w:rFonts w:eastAsia="Segoe UI"/>
                <w:color w:val="333333"/>
              </w:rPr>
              <w:t>Projekto tinkamų finansuoti išlaidų dalis, kurios nepadengia projektui skiriamo finansavimo lėšos, turi būti finansuojama iš JP projekto vykdytojo lėšų.</w:t>
            </w:r>
          </w:p>
          <w:p w14:paraId="3412698F" w14:textId="77777777" w:rsidR="004F601E" w:rsidRDefault="007D7044" w:rsidP="003F29FD">
            <w:pPr>
              <w:jc w:val="both"/>
              <w:rPr>
                <w:rFonts w:eastAsia="Segoe UI"/>
                <w:color w:val="333333"/>
              </w:rPr>
            </w:pPr>
            <w:r>
              <w:t>16.7.</w:t>
            </w:r>
            <w:r w:rsidRPr="004B229B">
              <w:t xml:space="preserve"> </w:t>
            </w:r>
            <w:r w:rsidR="003F29FD" w:rsidRPr="003F29FD">
              <w:rPr>
                <w:rFonts w:eastAsia="Segoe UI"/>
                <w:color w:val="333333"/>
              </w:rPr>
              <w:t>Jungtiniam projektui gali būti mokamas avansas, vadovaujantis  Projektų taisyklių 153–159 punktais.</w:t>
            </w:r>
          </w:p>
          <w:p w14:paraId="7BCC6D70" w14:textId="36D8BE89" w:rsidR="003F29FD" w:rsidRPr="003F29FD" w:rsidRDefault="007D7044" w:rsidP="003F29FD">
            <w:pPr>
              <w:jc w:val="both"/>
              <w:rPr>
                <w:rFonts w:eastAsia="Segoe UI"/>
                <w:color w:val="333333"/>
              </w:rPr>
            </w:pPr>
            <w:r>
              <w:t>16.8.</w:t>
            </w:r>
            <w:r w:rsidRPr="004B229B">
              <w:t xml:space="preserve"> </w:t>
            </w:r>
            <w:r w:rsidR="003F29FD" w:rsidRPr="003F29FD">
              <w:rPr>
                <w:rFonts w:eastAsia="Segoe UI"/>
                <w:color w:val="333333"/>
              </w:rPr>
              <w:t>Kryžminis finansavimas netaikomas.</w:t>
            </w:r>
          </w:p>
          <w:p w14:paraId="54C4ECE6" w14:textId="5E7E7E04" w:rsidR="003F29FD" w:rsidRPr="003F29FD" w:rsidRDefault="007D7044" w:rsidP="003F29FD">
            <w:pPr>
              <w:jc w:val="both"/>
              <w:rPr>
                <w:rFonts w:eastAsia="Segoe UI"/>
                <w:color w:val="333333"/>
              </w:rPr>
            </w:pPr>
            <w:r>
              <w:t>16.</w:t>
            </w:r>
            <w:r w:rsidR="00240DD5">
              <w:t>9</w:t>
            </w:r>
            <w:r>
              <w:t>.</w:t>
            </w:r>
            <w:r w:rsidRPr="004B229B">
              <w:t xml:space="preserve"> </w:t>
            </w:r>
            <w:r w:rsidR="003F29FD" w:rsidRPr="003F29FD">
              <w:rPr>
                <w:rFonts w:eastAsia="Segoe UI"/>
                <w:color w:val="333333"/>
              </w:rPr>
              <w:t>PĮP parengimo išlaidos nėra finansuojamos.</w:t>
            </w:r>
          </w:p>
          <w:p w14:paraId="09E042B0" w14:textId="3B052922" w:rsidR="003F29FD" w:rsidRPr="003F29FD" w:rsidRDefault="007D7044" w:rsidP="003F29FD">
            <w:pPr>
              <w:jc w:val="both"/>
              <w:rPr>
                <w:rFonts w:eastAsia="Segoe UI"/>
                <w:color w:val="333333"/>
              </w:rPr>
            </w:pPr>
            <w:r>
              <w:t xml:space="preserve">16.10. </w:t>
            </w:r>
            <w:r w:rsidR="003F29FD" w:rsidRPr="003F29FD">
              <w:rPr>
                <w:rFonts w:eastAsia="Segoe UI"/>
                <w:color w:val="333333"/>
              </w:rPr>
              <w:t>PVM nėra tinkamas finansuoti EGADP lėšomis. PVM gali būti finansuojamas Projektų taisyklių VII skyriaus „Projektų išlaidų reikalavimai“ ketvirtajame skirsnyje „PVM“ nustatyta tvarka.</w:t>
            </w:r>
          </w:p>
          <w:p w14:paraId="219F0100" w14:textId="3497DB67" w:rsidR="00795A40" w:rsidRPr="00C91222" w:rsidRDefault="007D7044" w:rsidP="00B9430D">
            <w:pPr>
              <w:jc w:val="both"/>
              <w:rPr>
                <w:rFonts w:eastAsia="Segoe UI"/>
                <w:color w:val="333333"/>
              </w:rPr>
            </w:pPr>
            <w:r>
              <w:t>16.11.</w:t>
            </w:r>
            <w:r w:rsidRPr="004B229B">
              <w:t xml:space="preserve"> </w:t>
            </w:r>
            <w:r w:rsidR="003F29FD" w:rsidRPr="003F29FD">
              <w:rPr>
                <w:rFonts w:eastAsia="Segoe UI"/>
                <w:color w:val="333333"/>
              </w:rPr>
              <w:t>Administruojančioji institucija, skelbdama kvietimą teikti PĮP ir prisiimdama įsipareigojimus pagal sudarytas projektų finansavimo sutartis, gali viršyti Aprašo 13.3 papunktyje (intervencinės priemonės kodai 103, 108) nurodytas planuojamas skirti EGADP lėšų sumas 1 493 000,00 Eur (vienu milijonu keturiais šimtais devyniasdešimt trimis tūkstančiais eurų, 00 ct.).</w:t>
            </w:r>
          </w:p>
        </w:tc>
      </w:tr>
    </w:tbl>
    <w:p w14:paraId="6EB9A604" w14:textId="77777777" w:rsidR="00BC4036" w:rsidRPr="005F6F0B" w:rsidRDefault="00BC4036" w:rsidP="00BC4036">
      <w:pPr>
        <w:rPr>
          <w:sz w:val="18"/>
          <w:szCs w:val="18"/>
        </w:rPr>
      </w:pPr>
    </w:p>
    <w:p w14:paraId="6322E542" w14:textId="77777777" w:rsidR="00BC4036" w:rsidRPr="005F6F0B" w:rsidRDefault="00BC4036" w:rsidP="00BC4036">
      <w:pPr>
        <w:jc w:val="center"/>
        <w:rPr>
          <w:b/>
          <w:szCs w:val="24"/>
        </w:rPr>
      </w:pPr>
      <w:r w:rsidRPr="005F6F0B">
        <w:rPr>
          <w:b/>
          <w:szCs w:val="24"/>
        </w:rPr>
        <w:t>IV SKYRIUS</w:t>
      </w:r>
    </w:p>
    <w:p w14:paraId="76103803" w14:textId="63124262" w:rsidR="00BC4036" w:rsidRDefault="00BC4036" w:rsidP="006D7115">
      <w:pPr>
        <w:spacing w:line="276" w:lineRule="auto"/>
        <w:ind w:left="3741" w:firstLine="1247"/>
        <w:rPr>
          <w:rFonts w:eastAsia="Calibri"/>
          <w:szCs w:val="24"/>
        </w:rPr>
      </w:pPr>
      <w:r w:rsidRPr="005F6F0B">
        <w:rPr>
          <w:b/>
          <w:szCs w:val="24"/>
        </w:rPr>
        <w:t>SUPAPRASTINTAI APMOKAMŲ IŠLAIDŲ DYDŽIAI</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2"/>
      </w:tblGrid>
      <w:tr w:rsidR="00BC4036" w:rsidRPr="004B229B" w14:paraId="184B93E5" w14:textId="77777777" w:rsidTr="00B9430D">
        <w:trPr>
          <w:trHeight w:val="349"/>
        </w:trPr>
        <w:tc>
          <w:tcPr>
            <w:tcW w:w="15452" w:type="dxa"/>
          </w:tcPr>
          <w:p w14:paraId="4155EC00" w14:textId="4E8996D9" w:rsidR="00BC4036" w:rsidRPr="004B229B" w:rsidRDefault="00BC4036" w:rsidP="00B9430D">
            <w:pPr>
              <w:jc w:val="both"/>
              <w:rPr>
                <w:szCs w:val="24"/>
              </w:rPr>
            </w:pPr>
            <w:r>
              <w:rPr>
                <w:b/>
                <w:szCs w:val="24"/>
              </w:rPr>
              <w:t>17.</w:t>
            </w:r>
            <w:r w:rsidRPr="004B229B">
              <w:rPr>
                <w:b/>
                <w:szCs w:val="24"/>
              </w:rPr>
              <w:t xml:space="preserve">  Projektų veiklų ir jungtinio projekto projektams įgyvendinti taikomi supaprastintai apmokamų išlaidų dydžiai</w:t>
            </w:r>
          </w:p>
        </w:tc>
      </w:tr>
      <w:tr w:rsidR="00BC4036" w:rsidRPr="004B229B" w14:paraId="57471334" w14:textId="77777777" w:rsidTr="00B9430D">
        <w:tc>
          <w:tcPr>
            <w:tcW w:w="15452" w:type="dxa"/>
          </w:tcPr>
          <w:p w14:paraId="094B4EB1" w14:textId="35B5438F" w:rsidR="00275E4D" w:rsidRPr="00275E4D" w:rsidRDefault="00EE694E" w:rsidP="00275E4D">
            <w:pPr>
              <w:jc w:val="both"/>
              <w:rPr>
                <w:iCs/>
                <w:szCs w:val="24"/>
              </w:rPr>
            </w:pPr>
            <w:r>
              <w:rPr>
                <w:iCs/>
                <w:szCs w:val="24"/>
              </w:rPr>
              <w:t>17.1</w:t>
            </w:r>
            <w:r w:rsidR="00275E4D" w:rsidRPr="00275E4D">
              <w:rPr>
                <w:iCs/>
                <w:szCs w:val="24"/>
              </w:rPr>
              <w:t>. Jungtinio projekto vykdytojas ir JP projekto vykdytojas supaprastintai apmokamų išlaidų finansinę apskaitą tvarko vadovaudamiesi ES ir Lietuvos Respublikos teisės aktais, tačiau mokėjimo prašymuose nurodomą tinkamų finansuoti išlaidų sumą apskaičiuoja pagal projekto sutartyje nustatytus supaprastintai apmokamų išlaidų dydžius.</w:t>
            </w:r>
          </w:p>
          <w:p w14:paraId="641A79FE" w14:textId="51A62F6D" w:rsidR="00275E4D" w:rsidRPr="00275E4D" w:rsidRDefault="006834D3" w:rsidP="00275E4D">
            <w:pPr>
              <w:jc w:val="both"/>
              <w:rPr>
                <w:iCs/>
                <w:szCs w:val="24"/>
              </w:rPr>
            </w:pPr>
            <w:r>
              <w:rPr>
                <w:iCs/>
                <w:szCs w:val="24"/>
              </w:rPr>
              <w:t>17.2</w:t>
            </w:r>
            <w:r w:rsidR="00275E4D" w:rsidRPr="00275E4D">
              <w:rPr>
                <w:iCs/>
                <w:szCs w:val="24"/>
              </w:rPr>
              <w:t>. Jeigu jungtinio projekto vykdytojo ar JP projekto vykdytojo faktiškai patirtos išlaidos (įsigytos prekės ar paslaugos, apskaičiuotas darbo užmokestis, išmokos ir pan.) yra didesnės už apskaičiuotas taikant nustatytus supaprastintai apmokamų išlaidų dydžius, skirtumas apmokamas iš jungtinio projekto vykdytojo ar JP projekto vykdytojo nuosavų lėšų.</w:t>
            </w:r>
          </w:p>
          <w:p w14:paraId="7BBCAFE7" w14:textId="6F7654A4" w:rsidR="00275E4D" w:rsidRPr="00275E4D" w:rsidRDefault="006834D3" w:rsidP="00275E4D">
            <w:pPr>
              <w:jc w:val="both"/>
              <w:rPr>
                <w:iCs/>
                <w:szCs w:val="24"/>
              </w:rPr>
            </w:pPr>
            <w:r>
              <w:rPr>
                <w:iCs/>
                <w:szCs w:val="24"/>
              </w:rPr>
              <w:t>17.3</w:t>
            </w:r>
            <w:r w:rsidR="00275E4D" w:rsidRPr="00275E4D">
              <w:rPr>
                <w:iCs/>
                <w:szCs w:val="24"/>
              </w:rPr>
              <w:t>. Kai išlaidos apmokamos supaprastintai, jungtinio projekto vykdytojas ar JP projekto vykdytojas projekto įgyvendinimo metu ir po projekto finansavimo pabaigos per projekto sutartyje nurodytą projekto dokumentų saugojimo laikotarpį ministerijos, vadovaujančiosios institucijos ar administruojančiosios institucijos prašymu privalo pateikti informaciją apie patirtas išlaidas, jeigu jos reikia rengiant ar atnaujinant supaprastintai apmokamų išlaidų nustatymo aprašą.</w:t>
            </w:r>
          </w:p>
          <w:p w14:paraId="1291BF5B" w14:textId="299A14EF" w:rsidR="00275E4D" w:rsidRPr="00275E4D" w:rsidRDefault="006B033B" w:rsidP="00275E4D">
            <w:pPr>
              <w:jc w:val="both"/>
              <w:rPr>
                <w:iCs/>
                <w:szCs w:val="24"/>
              </w:rPr>
            </w:pPr>
            <w:r>
              <w:rPr>
                <w:iCs/>
                <w:szCs w:val="24"/>
              </w:rPr>
              <w:t xml:space="preserve">17.4. </w:t>
            </w:r>
            <w:r w:rsidR="00275E4D" w:rsidRPr="00275E4D">
              <w:rPr>
                <w:iCs/>
                <w:szCs w:val="24"/>
              </w:rPr>
              <w:t xml:space="preserve"> Išlaidos pagal fiksuotuosius įkainius pripažįstamos tinkamomis finansuoti, kai yra pasiekti fiksuotojo įkainio rezultatai.</w:t>
            </w:r>
          </w:p>
          <w:p w14:paraId="0DA61A66" w14:textId="64175E6F" w:rsidR="00275E4D" w:rsidRPr="00275E4D" w:rsidRDefault="006B033B" w:rsidP="00275E4D">
            <w:pPr>
              <w:jc w:val="both"/>
              <w:rPr>
                <w:iCs/>
                <w:szCs w:val="24"/>
              </w:rPr>
            </w:pPr>
            <w:r>
              <w:rPr>
                <w:iCs/>
                <w:szCs w:val="24"/>
              </w:rPr>
              <w:t>17.5</w:t>
            </w:r>
            <w:r w:rsidR="00275E4D" w:rsidRPr="00275E4D">
              <w:rPr>
                <w:iCs/>
                <w:szCs w:val="24"/>
              </w:rPr>
              <w:t xml:space="preserve">. Netiesioginės išlaidos apmokamos taikant fiksuotąją normą pagal Taisyklių 172.1 punktą – 7 proc. netiesioginių išlaidų fiksuotoji norma.  </w:t>
            </w:r>
          </w:p>
          <w:p w14:paraId="4420B6A1" w14:textId="30B81A58" w:rsidR="00275E4D" w:rsidRPr="00275E4D" w:rsidRDefault="006B033B" w:rsidP="00275E4D">
            <w:pPr>
              <w:jc w:val="both"/>
              <w:rPr>
                <w:iCs/>
                <w:szCs w:val="24"/>
              </w:rPr>
            </w:pPr>
            <w:r>
              <w:rPr>
                <w:iCs/>
                <w:szCs w:val="24"/>
              </w:rPr>
              <w:lastRenderedPageBreak/>
              <w:t xml:space="preserve">17.6 </w:t>
            </w:r>
            <w:r w:rsidR="00275E4D" w:rsidRPr="00275E4D">
              <w:rPr>
                <w:iCs/>
                <w:szCs w:val="24"/>
              </w:rPr>
              <w:t>. Projekto sutartyje nustatyta netiesioginių išlaidų fiksuotoji norma projekto įgyvendinimo metu negali būti keičiama.</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884"/>
              <w:gridCol w:w="1377"/>
              <w:gridCol w:w="2378"/>
              <w:gridCol w:w="2693"/>
            </w:tblGrid>
            <w:tr w:rsidR="003672BA" w:rsidRPr="005236CD" w14:paraId="07317E14" w14:textId="77777777" w:rsidTr="00361FC4">
              <w:trPr>
                <w:trHeight w:val="692"/>
              </w:trPr>
              <w:tc>
                <w:tcPr>
                  <w:tcW w:w="10207" w:type="dxa"/>
                  <w:gridSpan w:val="5"/>
                  <w:tcBorders>
                    <w:top w:val="single" w:sz="8" w:space="0" w:color="auto"/>
                    <w:left w:val="single" w:sz="8" w:space="0" w:color="auto"/>
                    <w:bottom w:val="single" w:sz="8" w:space="0" w:color="auto"/>
                    <w:right w:val="single" w:sz="8" w:space="0" w:color="auto"/>
                  </w:tcBorders>
                  <w:hideMark/>
                </w:tcPr>
                <w:p w14:paraId="1DD99C36" w14:textId="2D71578F" w:rsidR="003672BA" w:rsidRPr="005236CD" w:rsidRDefault="006B033B" w:rsidP="003672BA">
                  <w:pPr>
                    <w:tabs>
                      <w:tab w:val="left" w:pos="810"/>
                    </w:tabs>
                    <w:ind w:left="22" w:hanging="22"/>
                    <w:jc w:val="both"/>
                    <w:rPr>
                      <w:sz w:val="22"/>
                      <w:szCs w:val="22"/>
                    </w:rPr>
                  </w:pPr>
                  <w:r>
                    <w:rPr>
                      <w:iCs/>
                      <w:szCs w:val="24"/>
                    </w:rPr>
                    <w:t>17.7</w:t>
                  </w:r>
                  <w:r w:rsidR="00275E4D" w:rsidRPr="00275E4D">
                    <w:rPr>
                      <w:iCs/>
                      <w:szCs w:val="24"/>
                    </w:rPr>
                    <w:t xml:space="preserve">. Projektų įgyvendinimo metu administruojančiai institucijai ar audito institucijoms nustačius, kad fiksuotieji įkainiai, fiksuotosios sumos ar fiksuotosios normos buvo netinkamai nustatytos, patikslinti dydžiai ar jų taikymo sąlygos taikomi projektų veiksmų, vykdomų nuo dydžių ar jų taikymo sąlygų patikslinimo įsigaliojimo dienos, išlaidoms </w:t>
                  </w:r>
                  <w:proofErr w:type="spellStart"/>
                  <w:r w:rsidR="00275E4D" w:rsidRPr="00275E4D">
                    <w:rPr>
                      <w:iCs/>
                      <w:szCs w:val="24"/>
                    </w:rPr>
                    <w:t>apmokėti:</w:t>
                  </w:r>
                  <w:r w:rsidR="003672BA" w:rsidRPr="005236CD">
                    <w:rPr>
                      <w:sz w:val="22"/>
                      <w:szCs w:val="22"/>
                    </w:rPr>
                    <w:fldChar w:fldCharType="begin" w:fldLock="1">
                      <w:ffData>
                        <w:name w:val=""/>
                        <w:enabled/>
                        <w:calcOnExit w:val="0"/>
                        <w:checkBox>
                          <w:sizeAuto/>
                          <w:default w:val="0"/>
                        </w:checkBox>
                      </w:ffData>
                    </w:fldChar>
                  </w:r>
                  <w:r w:rsidR="003672BA" w:rsidRPr="005236CD">
                    <w:rPr>
                      <w:sz w:val="22"/>
                      <w:szCs w:val="22"/>
                    </w:rPr>
                    <w:instrText xml:space="preserve"> FORMCHECKBOX </w:instrText>
                  </w:r>
                  <w:r w:rsidR="003672BA" w:rsidRPr="005236CD">
                    <w:rPr>
                      <w:sz w:val="22"/>
                      <w:szCs w:val="22"/>
                    </w:rPr>
                  </w:r>
                  <w:r w:rsidR="003672BA" w:rsidRPr="005236CD">
                    <w:rPr>
                      <w:sz w:val="22"/>
                      <w:szCs w:val="22"/>
                    </w:rPr>
                    <w:fldChar w:fldCharType="separate"/>
                  </w:r>
                  <w:r w:rsidR="003672BA" w:rsidRPr="005236CD">
                    <w:rPr>
                      <w:sz w:val="22"/>
                      <w:szCs w:val="22"/>
                    </w:rPr>
                    <w:fldChar w:fldCharType="end"/>
                  </w:r>
                  <w:r w:rsidR="003672BA" w:rsidRPr="005236CD">
                    <w:rPr>
                      <w:sz w:val="22"/>
                      <w:szCs w:val="22"/>
                    </w:rPr>
                    <w:t>Indeksuojama</w:t>
                  </w:r>
                  <w:proofErr w:type="spellEnd"/>
                </w:p>
                <w:p w14:paraId="404A8DDF" w14:textId="77777777" w:rsidR="003672BA" w:rsidRPr="005236CD" w:rsidRDefault="003672BA" w:rsidP="003672BA">
                  <w:pPr>
                    <w:tabs>
                      <w:tab w:val="left" w:pos="810"/>
                    </w:tabs>
                    <w:ind w:left="22" w:hanging="22"/>
                    <w:jc w:val="both"/>
                    <w:rPr>
                      <w:sz w:val="22"/>
                      <w:szCs w:val="22"/>
                    </w:rPr>
                  </w:pPr>
                  <w:r w:rsidRPr="005236CD">
                    <w:rPr>
                      <w:sz w:val="22"/>
                      <w:szCs w:val="22"/>
                    </w:rPr>
                    <w:fldChar w:fldCharType="begin" w:fldLock="1">
                      <w:ffData>
                        <w:name w:val="Tikrinti2"/>
                        <w:enabled/>
                        <w:calcOnExit w:val="0"/>
                        <w:checkBox>
                          <w:sizeAuto/>
                          <w:default w:val="1"/>
                        </w:checkBox>
                      </w:ffData>
                    </w:fldChar>
                  </w:r>
                  <w:r w:rsidRPr="005236CD">
                    <w:rPr>
                      <w:sz w:val="22"/>
                      <w:szCs w:val="22"/>
                    </w:rPr>
                    <w:instrText xml:space="preserve">FORMCHECKBOX </w:instrText>
                  </w:r>
                  <w:r w:rsidRPr="005236CD">
                    <w:rPr>
                      <w:sz w:val="22"/>
                      <w:szCs w:val="22"/>
                    </w:rPr>
                  </w:r>
                  <w:r w:rsidRPr="005236CD">
                    <w:rPr>
                      <w:sz w:val="22"/>
                      <w:szCs w:val="22"/>
                    </w:rPr>
                    <w:fldChar w:fldCharType="separate"/>
                  </w:r>
                  <w:r w:rsidRPr="005236CD">
                    <w:rPr>
                      <w:sz w:val="22"/>
                      <w:szCs w:val="22"/>
                    </w:rPr>
                    <w:fldChar w:fldCharType="end"/>
                  </w:r>
                  <w:r w:rsidRPr="005236CD">
                    <w:rPr>
                      <w:b/>
                      <w:bCs/>
                      <w:sz w:val="22"/>
                      <w:szCs w:val="22"/>
                    </w:rPr>
                    <w:t>Neindeksuojama</w:t>
                  </w:r>
                </w:p>
              </w:tc>
            </w:tr>
            <w:tr w:rsidR="003672BA" w:rsidRPr="005236CD" w14:paraId="72511D42" w14:textId="77777777" w:rsidTr="00361FC4">
              <w:trPr>
                <w:trHeight w:val="167"/>
              </w:trPr>
              <w:tc>
                <w:tcPr>
                  <w:tcW w:w="1875" w:type="dxa"/>
                  <w:tcBorders>
                    <w:top w:val="single" w:sz="8" w:space="0" w:color="auto"/>
                    <w:left w:val="single" w:sz="8" w:space="0" w:color="auto"/>
                    <w:bottom w:val="single" w:sz="4" w:space="0" w:color="auto"/>
                    <w:right w:val="single" w:sz="8" w:space="0" w:color="auto"/>
                  </w:tcBorders>
                  <w:vAlign w:val="center"/>
                </w:tcPr>
                <w:p w14:paraId="10BE857B" w14:textId="77777777" w:rsidR="003672BA" w:rsidRPr="005236CD" w:rsidRDefault="003672BA" w:rsidP="003672BA">
                  <w:pPr>
                    <w:tabs>
                      <w:tab w:val="left" w:pos="810"/>
                    </w:tabs>
                    <w:ind w:left="22" w:hanging="22"/>
                    <w:jc w:val="both"/>
                    <w:rPr>
                      <w:sz w:val="22"/>
                      <w:szCs w:val="22"/>
                    </w:rPr>
                  </w:pPr>
                  <w:r w:rsidRPr="005236CD">
                    <w:rPr>
                      <w:sz w:val="22"/>
                      <w:szCs w:val="22"/>
                    </w:rPr>
                    <w:t>Veiklos ir (ar) išlaidos, kurioms taikomi supaprastintai apmokamų išlaidų dydžiai</w:t>
                  </w:r>
                </w:p>
                <w:p w14:paraId="78138CB5" w14:textId="77777777" w:rsidR="003672BA" w:rsidRPr="005236CD" w:rsidRDefault="003672BA" w:rsidP="003672BA">
                  <w:pPr>
                    <w:tabs>
                      <w:tab w:val="left" w:pos="810"/>
                    </w:tabs>
                    <w:ind w:left="22" w:hanging="22"/>
                    <w:jc w:val="both"/>
                    <w:rPr>
                      <w:sz w:val="22"/>
                      <w:szCs w:val="22"/>
                    </w:rPr>
                  </w:pPr>
                </w:p>
              </w:tc>
              <w:tc>
                <w:tcPr>
                  <w:tcW w:w="1884" w:type="dxa"/>
                  <w:tcBorders>
                    <w:top w:val="single" w:sz="8" w:space="0" w:color="auto"/>
                    <w:left w:val="single" w:sz="8" w:space="0" w:color="auto"/>
                    <w:bottom w:val="single" w:sz="4" w:space="0" w:color="auto"/>
                    <w:right w:val="single" w:sz="8" w:space="0" w:color="auto"/>
                  </w:tcBorders>
                  <w:vAlign w:val="center"/>
                  <w:hideMark/>
                </w:tcPr>
                <w:p w14:paraId="2109F178" w14:textId="77777777" w:rsidR="003672BA" w:rsidRPr="005236CD" w:rsidRDefault="003672BA" w:rsidP="003672BA">
                  <w:pPr>
                    <w:tabs>
                      <w:tab w:val="left" w:pos="810"/>
                    </w:tabs>
                    <w:ind w:left="22" w:hanging="22"/>
                    <w:jc w:val="both"/>
                    <w:rPr>
                      <w:sz w:val="22"/>
                      <w:szCs w:val="22"/>
                    </w:rPr>
                  </w:pPr>
                  <w:r w:rsidRPr="005236CD">
                    <w:rPr>
                      <w:sz w:val="22"/>
                      <w:szCs w:val="22"/>
                    </w:rPr>
                    <w:t>Supaprastintai apmokamų išlaidų dydžio kodas</w:t>
                  </w:r>
                </w:p>
              </w:tc>
              <w:tc>
                <w:tcPr>
                  <w:tcW w:w="1377" w:type="dxa"/>
                  <w:tcBorders>
                    <w:top w:val="single" w:sz="8" w:space="0" w:color="auto"/>
                    <w:left w:val="single" w:sz="8" w:space="0" w:color="auto"/>
                    <w:bottom w:val="single" w:sz="4" w:space="0" w:color="auto"/>
                    <w:right w:val="single" w:sz="8" w:space="0" w:color="auto"/>
                  </w:tcBorders>
                  <w:vAlign w:val="center"/>
                  <w:hideMark/>
                </w:tcPr>
                <w:p w14:paraId="158149DC" w14:textId="77777777" w:rsidR="003672BA" w:rsidRPr="005236CD" w:rsidRDefault="003672BA" w:rsidP="003672BA">
                  <w:pPr>
                    <w:tabs>
                      <w:tab w:val="left" w:pos="810"/>
                    </w:tabs>
                    <w:ind w:left="22" w:hanging="22"/>
                    <w:jc w:val="both"/>
                    <w:rPr>
                      <w:sz w:val="22"/>
                      <w:szCs w:val="22"/>
                    </w:rPr>
                  </w:pPr>
                  <w:r w:rsidRPr="005236CD">
                    <w:rPr>
                      <w:sz w:val="22"/>
                      <w:szCs w:val="22"/>
                    </w:rPr>
                    <w:t>Supaprastintai apmokamų išlaidų dydžio versija</w:t>
                  </w:r>
                </w:p>
              </w:tc>
              <w:tc>
                <w:tcPr>
                  <w:tcW w:w="2378" w:type="dxa"/>
                  <w:tcBorders>
                    <w:top w:val="single" w:sz="8" w:space="0" w:color="auto"/>
                    <w:left w:val="single" w:sz="8" w:space="0" w:color="auto"/>
                    <w:bottom w:val="single" w:sz="4" w:space="0" w:color="auto"/>
                    <w:right w:val="single" w:sz="8" w:space="0" w:color="auto"/>
                  </w:tcBorders>
                  <w:vAlign w:val="center"/>
                  <w:hideMark/>
                </w:tcPr>
                <w:p w14:paraId="1BFB386B" w14:textId="77777777" w:rsidR="003672BA" w:rsidRPr="005236CD" w:rsidRDefault="003672BA" w:rsidP="003672BA">
                  <w:pPr>
                    <w:tabs>
                      <w:tab w:val="left" w:pos="810"/>
                    </w:tabs>
                    <w:ind w:left="22" w:hanging="22"/>
                    <w:jc w:val="both"/>
                    <w:rPr>
                      <w:sz w:val="22"/>
                      <w:szCs w:val="22"/>
                    </w:rPr>
                  </w:pPr>
                  <w:r w:rsidRPr="005236CD">
                    <w:rPr>
                      <w:sz w:val="22"/>
                      <w:szCs w:val="22"/>
                    </w:rPr>
                    <w:t>Supaprastintai apmokamų išlaidų dydžio pavadinimas</w:t>
                  </w:r>
                </w:p>
              </w:tc>
              <w:tc>
                <w:tcPr>
                  <w:tcW w:w="2693" w:type="dxa"/>
                  <w:tcBorders>
                    <w:top w:val="single" w:sz="8" w:space="0" w:color="auto"/>
                    <w:left w:val="single" w:sz="8" w:space="0" w:color="auto"/>
                    <w:bottom w:val="single" w:sz="4" w:space="0" w:color="auto"/>
                    <w:right w:val="single" w:sz="8" w:space="0" w:color="auto"/>
                  </w:tcBorders>
                  <w:vAlign w:val="center"/>
                  <w:hideMark/>
                </w:tcPr>
                <w:p w14:paraId="0FB01CE4" w14:textId="77777777" w:rsidR="003672BA" w:rsidRPr="005236CD" w:rsidRDefault="003672BA" w:rsidP="003672BA">
                  <w:pPr>
                    <w:tabs>
                      <w:tab w:val="left" w:pos="810"/>
                    </w:tabs>
                    <w:ind w:left="22" w:hanging="22"/>
                    <w:jc w:val="both"/>
                    <w:rPr>
                      <w:sz w:val="22"/>
                      <w:szCs w:val="22"/>
                    </w:rPr>
                  </w:pPr>
                  <w:r w:rsidRPr="005236CD">
                    <w:rPr>
                      <w:sz w:val="22"/>
                      <w:szCs w:val="22"/>
                    </w:rPr>
                    <w:t>Papildoma informacija</w:t>
                  </w:r>
                </w:p>
              </w:tc>
            </w:tr>
            <w:tr w:rsidR="003672BA" w:rsidRPr="005236CD" w14:paraId="5AC5284F" w14:textId="77777777" w:rsidTr="00361FC4">
              <w:trPr>
                <w:trHeight w:val="456"/>
              </w:trPr>
              <w:tc>
                <w:tcPr>
                  <w:tcW w:w="1875" w:type="dxa"/>
                  <w:vMerge w:val="restart"/>
                  <w:tcBorders>
                    <w:top w:val="single" w:sz="4" w:space="0" w:color="auto"/>
                    <w:left w:val="single" w:sz="8" w:space="0" w:color="auto"/>
                    <w:bottom w:val="single" w:sz="8" w:space="0" w:color="auto"/>
                    <w:right w:val="single" w:sz="8" w:space="0" w:color="auto"/>
                  </w:tcBorders>
                  <w:vAlign w:val="center"/>
                  <w:hideMark/>
                </w:tcPr>
                <w:p w14:paraId="2CDC634A" w14:textId="77777777" w:rsidR="003672BA" w:rsidRPr="005236CD" w:rsidRDefault="003672BA" w:rsidP="003672BA">
                  <w:pPr>
                    <w:tabs>
                      <w:tab w:val="left" w:pos="810"/>
                    </w:tabs>
                    <w:ind w:left="22" w:hanging="22"/>
                    <w:jc w:val="both"/>
                    <w:rPr>
                      <w:sz w:val="22"/>
                      <w:szCs w:val="22"/>
                    </w:rPr>
                  </w:pPr>
                  <w:r w:rsidRPr="005236CD">
                    <w:rPr>
                      <w:sz w:val="22"/>
                      <w:szCs w:val="22"/>
                    </w:rPr>
                    <w:t xml:space="preserve">2.4 veikla </w:t>
                  </w:r>
                </w:p>
              </w:tc>
              <w:tc>
                <w:tcPr>
                  <w:tcW w:w="1884" w:type="dxa"/>
                  <w:tcBorders>
                    <w:top w:val="single" w:sz="4" w:space="0" w:color="auto"/>
                    <w:left w:val="single" w:sz="8" w:space="0" w:color="auto"/>
                    <w:bottom w:val="single" w:sz="8" w:space="0" w:color="auto"/>
                    <w:right w:val="single" w:sz="8" w:space="0" w:color="auto"/>
                  </w:tcBorders>
                  <w:vAlign w:val="center"/>
                  <w:hideMark/>
                </w:tcPr>
                <w:p w14:paraId="1DD9E088" w14:textId="77777777" w:rsidR="003672BA" w:rsidRPr="005236CD" w:rsidRDefault="003672BA" w:rsidP="003672BA">
                  <w:pPr>
                    <w:tabs>
                      <w:tab w:val="left" w:pos="810"/>
                    </w:tabs>
                    <w:ind w:left="22" w:hanging="22"/>
                    <w:jc w:val="both"/>
                    <w:rPr>
                      <w:sz w:val="22"/>
                      <w:szCs w:val="22"/>
                    </w:rPr>
                  </w:pPr>
                  <w:r w:rsidRPr="005236CD">
                    <w:rPr>
                      <w:sz w:val="22"/>
                      <w:szCs w:val="22"/>
                    </w:rPr>
                    <w:t>FĮ-16-01</w:t>
                  </w:r>
                </w:p>
              </w:tc>
              <w:tc>
                <w:tcPr>
                  <w:tcW w:w="1377" w:type="dxa"/>
                  <w:tcBorders>
                    <w:top w:val="single" w:sz="4" w:space="0" w:color="auto"/>
                    <w:left w:val="single" w:sz="8" w:space="0" w:color="auto"/>
                    <w:bottom w:val="single" w:sz="4" w:space="0" w:color="auto"/>
                    <w:right w:val="single" w:sz="8" w:space="0" w:color="auto"/>
                  </w:tcBorders>
                  <w:vAlign w:val="center"/>
                  <w:hideMark/>
                </w:tcPr>
                <w:p w14:paraId="4A87824B"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nil"/>
                    <w:left w:val="single" w:sz="6" w:space="0" w:color="auto"/>
                    <w:bottom w:val="single" w:sz="6" w:space="0" w:color="auto"/>
                    <w:right w:val="single" w:sz="6" w:space="0" w:color="auto"/>
                  </w:tcBorders>
                  <w:vAlign w:val="bottom"/>
                  <w:hideMark/>
                </w:tcPr>
                <w:p w14:paraId="4B9E5CA0" w14:textId="77777777" w:rsidR="003672BA" w:rsidRPr="005236CD" w:rsidRDefault="003672BA" w:rsidP="003672BA">
                  <w:pPr>
                    <w:tabs>
                      <w:tab w:val="left" w:pos="810"/>
                    </w:tabs>
                    <w:ind w:left="22" w:hanging="22"/>
                    <w:jc w:val="both"/>
                    <w:rPr>
                      <w:sz w:val="22"/>
                      <w:szCs w:val="22"/>
                    </w:rPr>
                  </w:pPr>
                  <w:r w:rsidRPr="005236CD">
                    <w:rPr>
                      <w:sz w:val="22"/>
                      <w:szCs w:val="22"/>
                    </w:rPr>
                    <w:t>Projekto dalyvio ilgos trukmės (nuo 880 val.) formaliojo profesinio mokymo pagal pameistrystės formą darbo vietoje fiksuotasis vieneto įkainis, be PVM </w:t>
                  </w:r>
                </w:p>
              </w:tc>
              <w:tc>
                <w:tcPr>
                  <w:tcW w:w="2693" w:type="dxa"/>
                  <w:tcBorders>
                    <w:top w:val="single" w:sz="4" w:space="0" w:color="auto"/>
                    <w:left w:val="single" w:sz="8" w:space="0" w:color="auto"/>
                    <w:bottom w:val="single" w:sz="8" w:space="0" w:color="auto"/>
                    <w:right w:val="single" w:sz="8" w:space="0" w:color="auto"/>
                  </w:tcBorders>
                  <w:vAlign w:val="center"/>
                </w:tcPr>
                <w:p w14:paraId="155436C0" w14:textId="77777777" w:rsidR="003672BA" w:rsidRPr="005236CD" w:rsidRDefault="003672BA" w:rsidP="003672BA">
                  <w:pPr>
                    <w:tabs>
                      <w:tab w:val="left" w:pos="810"/>
                    </w:tabs>
                    <w:ind w:left="22" w:hanging="22"/>
                    <w:jc w:val="both"/>
                    <w:rPr>
                      <w:sz w:val="22"/>
                      <w:szCs w:val="22"/>
                    </w:rPr>
                  </w:pPr>
                  <w:r w:rsidRPr="005236CD">
                    <w:rPr>
                      <w:sz w:val="22"/>
                      <w:szCs w:val="22"/>
                    </w:rPr>
                    <w:t>Kvietimams, paskelbtiems nuo 2025 m. birželio mėn., taikoma 03 supaprastintai apmokamų išlaidų dydžio versija</w:t>
                  </w:r>
                </w:p>
              </w:tc>
            </w:tr>
            <w:tr w:rsidR="003672BA" w:rsidRPr="005236CD" w14:paraId="138E9021" w14:textId="77777777" w:rsidTr="00361FC4">
              <w:trPr>
                <w:trHeight w:val="456"/>
              </w:trPr>
              <w:tc>
                <w:tcPr>
                  <w:tcW w:w="1875" w:type="dxa"/>
                  <w:vMerge/>
                  <w:tcBorders>
                    <w:top w:val="single" w:sz="4" w:space="0" w:color="auto"/>
                    <w:left w:val="single" w:sz="8" w:space="0" w:color="auto"/>
                    <w:bottom w:val="single" w:sz="8" w:space="0" w:color="auto"/>
                    <w:right w:val="single" w:sz="8" w:space="0" w:color="auto"/>
                  </w:tcBorders>
                  <w:vAlign w:val="center"/>
                  <w:hideMark/>
                </w:tcPr>
                <w:p w14:paraId="58A84041" w14:textId="77777777" w:rsidR="003672BA" w:rsidRPr="005236CD" w:rsidRDefault="003672BA" w:rsidP="003672BA">
                  <w:pPr>
                    <w:tabs>
                      <w:tab w:val="left" w:pos="810"/>
                    </w:tabs>
                    <w:ind w:left="22" w:hanging="22"/>
                    <w:jc w:val="both"/>
                    <w:rPr>
                      <w:sz w:val="22"/>
                      <w:szCs w:val="22"/>
                    </w:rPr>
                  </w:pPr>
                </w:p>
              </w:tc>
              <w:tc>
                <w:tcPr>
                  <w:tcW w:w="1884" w:type="dxa"/>
                  <w:tcBorders>
                    <w:top w:val="single" w:sz="4" w:space="0" w:color="auto"/>
                    <w:left w:val="single" w:sz="8" w:space="0" w:color="auto"/>
                    <w:bottom w:val="single" w:sz="8" w:space="0" w:color="auto"/>
                    <w:right w:val="single" w:sz="8" w:space="0" w:color="auto"/>
                  </w:tcBorders>
                  <w:vAlign w:val="center"/>
                  <w:hideMark/>
                </w:tcPr>
                <w:p w14:paraId="49B5EA7C" w14:textId="77777777" w:rsidR="003672BA" w:rsidRPr="005236CD" w:rsidRDefault="003672BA" w:rsidP="003672BA">
                  <w:pPr>
                    <w:tabs>
                      <w:tab w:val="left" w:pos="810"/>
                    </w:tabs>
                    <w:ind w:left="22" w:hanging="22"/>
                    <w:jc w:val="both"/>
                    <w:rPr>
                      <w:sz w:val="22"/>
                      <w:szCs w:val="22"/>
                    </w:rPr>
                  </w:pPr>
                  <w:r w:rsidRPr="005236CD">
                    <w:rPr>
                      <w:sz w:val="22"/>
                      <w:szCs w:val="22"/>
                    </w:rPr>
                    <w:t>FĮ-16-02</w:t>
                  </w:r>
                </w:p>
              </w:tc>
              <w:tc>
                <w:tcPr>
                  <w:tcW w:w="1377" w:type="dxa"/>
                  <w:tcBorders>
                    <w:top w:val="single" w:sz="4" w:space="0" w:color="auto"/>
                    <w:left w:val="single" w:sz="8" w:space="0" w:color="auto"/>
                    <w:bottom w:val="single" w:sz="4" w:space="0" w:color="auto"/>
                    <w:right w:val="single" w:sz="8" w:space="0" w:color="auto"/>
                  </w:tcBorders>
                  <w:vAlign w:val="center"/>
                  <w:hideMark/>
                </w:tcPr>
                <w:p w14:paraId="62F16DF6"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nil"/>
                    <w:left w:val="single" w:sz="6" w:space="0" w:color="auto"/>
                    <w:bottom w:val="single" w:sz="6" w:space="0" w:color="auto"/>
                    <w:right w:val="single" w:sz="6" w:space="0" w:color="auto"/>
                  </w:tcBorders>
                  <w:vAlign w:val="bottom"/>
                  <w:hideMark/>
                </w:tcPr>
                <w:p w14:paraId="63146B2E" w14:textId="77777777" w:rsidR="003672BA" w:rsidRPr="005236CD" w:rsidRDefault="003672BA" w:rsidP="003672BA">
                  <w:pPr>
                    <w:tabs>
                      <w:tab w:val="left" w:pos="810"/>
                    </w:tabs>
                    <w:ind w:left="22" w:hanging="22"/>
                    <w:jc w:val="both"/>
                    <w:rPr>
                      <w:sz w:val="22"/>
                      <w:szCs w:val="22"/>
                    </w:rPr>
                  </w:pPr>
                  <w:r w:rsidRPr="005236CD">
                    <w:rPr>
                      <w:sz w:val="22"/>
                      <w:szCs w:val="22"/>
                    </w:rPr>
                    <w:t>Projekto dalyvio ilgos trukmės (nuo 880 val.) formaliojo profesinio mokymo pagal pameistrystės formą darbo vietoje fiksuotasis vieneto įkainis, su PVM </w:t>
                  </w:r>
                </w:p>
              </w:tc>
              <w:tc>
                <w:tcPr>
                  <w:tcW w:w="2693" w:type="dxa"/>
                  <w:tcBorders>
                    <w:top w:val="single" w:sz="4" w:space="0" w:color="auto"/>
                    <w:left w:val="single" w:sz="8" w:space="0" w:color="auto"/>
                    <w:bottom w:val="single" w:sz="8" w:space="0" w:color="auto"/>
                    <w:right w:val="single" w:sz="8" w:space="0" w:color="auto"/>
                  </w:tcBorders>
                  <w:vAlign w:val="center"/>
                </w:tcPr>
                <w:p w14:paraId="2160A45F" w14:textId="77777777" w:rsidR="003672BA" w:rsidRPr="005236CD" w:rsidRDefault="003672BA" w:rsidP="003672BA">
                  <w:pPr>
                    <w:tabs>
                      <w:tab w:val="left" w:pos="810"/>
                    </w:tabs>
                    <w:ind w:left="22" w:hanging="22"/>
                    <w:jc w:val="both"/>
                    <w:rPr>
                      <w:sz w:val="22"/>
                      <w:szCs w:val="22"/>
                    </w:rPr>
                  </w:pPr>
                  <w:r w:rsidRPr="005236CD">
                    <w:rPr>
                      <w:sz w:val="22"/>
                      <w:szCs w:val="22"/>
                    </w:rPr>
                    <w:t>Kvietimams, paskelbtiems nuo 2025 m. birželio mėn., taikoma 03 supaprastintai apmokamų išlaidų dydžio versija</w:t>
                  </w:r>
                </w:p>
              </w:tc>
            </w:tr>
            <w:tr w:rsidR="003672BA" w:rsidRPr="005236CD" w14:paraId="718E14F9" w14:textId="77777777" w:rsidTr="00361FC4">
              <w:trPr>
                <w:trHeight w:val="456"/>
              </w:trPr>
              <w:tc>
                <w:tcPr>
                  <w:tcW w:w="1875" w:type="dxa"/>
                  <w:vMerge/>
                  <w:tcBorders>
                    <w:top w:val="single" w:sz="4" w:space="0" w:color="auto"/>
                    <w:left w:val="single" w:sz="8" w:space="0" w:color="auto"/>
                    <w:bottom w:val="single" w:sz="8" w:space="0" w:color="auto"/>
                    <w:right w:val="single" w:sz="8" w:space="0" w:color="auto"/>
                  </w:tcBorders>
                  <w:vAlign w:val="center"/>
                  <w:hideMark/>
                </w:tcPr>
                <w:p w14:paraId="5F3BFDA1" w14:textId="77777777" w:rsidR="003672BA" w:rsidRPr="005236CD" w:rsidRDefault="003672BA" w:rsidP="003672BA">
                  <w:pPr>
                    <w:tabs>
                      <w:tab w:val="left" w:pos="810"/>
                    </w:tabs>
                    <w:ind w:left="22" w:hanging="22"/>
                    <w:jc w:val="both"/>
                    <w:rPr>
                      <w:sz w:val="22"/>
                      <w:szCs w:val="22"/>
                    </w:rPr>
                  </w:pPr>
                </w:p>
              </w:tc>
              <w:tc>
                <w:tcPr>
                  <w:tcW w:w="1884" w:type="dxa"/>
                  <w:tcBorders>
                    <w:top w:val="single" w:sz="4" w:space="0" w:color="auto"/>
                    <w:left w:val="single" w:sz="8" w:space="0" w:color="auto"/>
                    <w:bottom w:val="single" w:sz="8" w:space="0" w:color="auto"/>
                    <w:right w:val="single" w:sz="8" w:space="0" w:color="auto"/>
                  </w:tcBorders>
                  <w:vAlign w:val="center"/>
                  <w:hideMark/>
                </w:tcPr>
                <w:p w14:paraId="1B7DF9CF" w14:textId="77777777" w:rsidR="003672BA" w:rsidRPr="005236CD" w:rsidRDefault="003672BA" w:rsidP="003672BA">
                  <w:pPr>
                    <w:tabs>
                      <w:tab w:val="left" w:pos="810"/>
                    </w:tabs>
                    <w:ind w:left="22" w:hanging="22"/>
                    <w:jc w:val="both"/>
                    <w:rPr>
                      <w:sz w:val="22"/>
                      <w:szCs w:val="22"/>
                    </w:rPr>
                  </w:pPr>
                  <w:r w:rsidRPr="005236CD">
                    <w:rPr>
                      <w:sz w:val="22"/>
                      <w:szCs w:val="22"/>
                    </w:rPr>
                    <w:t>FĮ-16-03</w:t>
                  </w:r>
                </w:p>
              </w:tc>
              <w:tc>
                <w:tcPr>
                  <w:tcW w:w="1377" w:type="dxa"/>
                  <w:tcBorders>
                    <w:top w:val="single" w:sz="4" w:space="0" w:color="auto"/>
                    <w:left w:val="single" w:sz="8" w:space="0" w:color="auto"/>
                    <w:bottom w:val="single" w:sz="4" w:space="0" w:color="auto"/>
                    <w:right w:val="single" w:sz="8" w:space="0" w:color="auto"/>
                  </w:tcBorders>
                  <w:vAlign w:val="center"/>
                  <w:hideMark/>
                </w:tcPr>
                <w:p w14:paraId="4AE53864"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nil"/>
                    <w:left w:val="single" w:sz="6" w:space="0" w:color="auto"/>
                    <w:bottom w:val="single" w:sz="6" w:space="0" w:color="auto"/>
                    <w:right w:val="single" w:sz="6" w:space="0" w:color="auto"/>
                  </w:tcBorders>
                  <w:vAlign w:val="bottom"/>
                  <w:hideMark/>
                </w:tcPr>
                <w:p w14:paraId="56B12506" w14:textId="77777777" w:rsidR="003672BA" w:rsidRPr="005236CD" w:rsidRDefault="003672BA" w:rsidP="003672BA">
                  <w:pPr>
                    <w:tabs>
                      <w:tab w:val="left" w:pos="810"/>
                    </w:tabs>
                    <w:ind w:left="22" w:hanging="22"/>
                    <w:jc w:val="both"/>
                    <w:rPr>
                      <w:sz w:val="22"/>
                      <w:szCs w:val="22"/>
                    </w:rPr>
                  </w:pPr>
                  <w:r w:rsidRPr="005236CD">
                    <w:rPr>
                      <w:sz w:val="22"/>
                      <w:szCs w:val="22"/>
                    </w:rPr>
                    <w:t xml:space="preserve">Projekto dalyvio trumpos trukmės (ne daugiau nei 879 val.) formaliojo profesinio mokymo pagal pameistrystės formą </w:t>
                  </w:r>
                  <w:r w:rsidRPr="005236CD">
                    <w:rPr>
                      <w:sz w:val="22"/>
                      <w:szCs w:val="22"/>
                    </w:rPr>
                    <w:lastRenderedPageBreak/>
                    <w:t>darbo vietoje fiksuotasis vieneto įkainis, be PVM </w:t>
                  </w:r>
                </w:p>
              </w:tc>
              <w:tc>
                <w:tcPr>
                  <w:tcW w:w="2693" w:type="dxa"/>
                  <w:tcBorders>
                    <w:top w:val="single" w:sz="4" w:space="0" w:color="auto"/>
                    <w:left w:val="single" w:sz="8" w:space="0" w:color="auto"/>
                    <w:bottom w:val="single" w:sz="8" w:space="0" w:color="auto"/>
                    <w:right w:val="single" w:sz="8" w:space="0" w:color="auto"/>
                  </w:tcBorders>
                  <w:vAlign w:val="center"/>
                </w:tcPr>
                <w:p w14:paraId="64E64912" w14:textId="77777777" w:rsidR="003672BA" w:rsidRPr="005236CD" w:rsidRDefault="003672BA" w:rsidP="003672BA">
                  <w:pPr>
                    <w:tabs>
                      <w:tab w:val="left" w:pos="810"/>
                    </w:tabs>
                    <w:ind w:left="22" w:hanging="22"/>
                    <w:jc w:val="both"/>
                    <w:rPr>
                      <w:sz w:val="22"/>
                      <w:szCs w:val="22"/>
                    </w:rPr>
                  </w:pPr>
                  <w:r w:rsidRPr="005236CD">
                    <w:rPr>
                      <w:sz w:val="22"/>
                      <w:szCs w:val="22"/>
                    </w:rPr>
                    <w:lastRenderedPageBreak/>
                    <w:t>Kvietimams, paskelbtiems nuo 2025 m. birželio mėn., taikoma 03 supaprastintai apmokamų išlaidų dydžio versija</w:t>
                  </w:r>
                </w:p>
              </w:tc>
            </w:tr>
            <w:tr w:rsidR="003672BA" w:rsidRPr="005236CD" w14:paraId="16EEFAF7" w14:textId="77777777" w:rsidTr="00361FC4">
              <w:trPr>
                <w:trHeight w:val="456"/>
              </w:trPr>
              <w:tc>
                <w:tcPr>
                  <w:tcW w:w="1875" w:type="dxa"/>
                  <w:vMerge/>
                  <w:tcBorders>
                    <w:top w:val="single" w:sz="4" w:space="0" w:color="auto"/>
                    <w:left w:val="single" w:sz="8" w:space="0" w:color="auto"/>
                    <w:bottom w:val="single" w:sz="8" w:space="0" w:color="auto"/>
                    <w:right w:val="single" w:sz="8" w:space="0" w:color="auto"/>
                  </w:tcBorders>
                  <w:vAlign w:val="center"/>
                  <w:hideMark/>
                </w:tcPr>
                <w:p w14:paraId="72C781B3" w14:textId="77777777" w:rsidR="003672BA" w:rsidRPr="005236CD" w:rsidRDefault="003672BA" w:rsidP="003672BA">
                  <w:pPr>
                    <w:tabs>
                      <w:tab w:val="left" w:pos="810"/>
                    </w:tabs>
                    <w:ind w:left="22" w:hanging="22"/>
                    <w:jc w:val="both"/>
                    <w:rPr>
                      <w:sz w:val="22"/>
                      <w:szCs w:val="22"/>
                    </w:rPr>
                  </w:pPr>
                </w:p>
              </w:tc>
              <w:tc>
                <w:tcPr>
                  <w:tcW w:w="1884" w:type="dxa"/>
                  <w:tcBorders>
                    <w:top w:val="single" w:sz="4" w:space="0" w:color="auto"/>
                    <w:left w:val="single" w:sz="8" w:space="0" w:color="auto"/>
                    <w:bottom w:val="single" w:sz="8" w:space="0" w:color="auto"/>
                    <w:right w:val="single" w:sz="8" w:space="0" w:color="auto"/>
                  </w:tcBorders>
                  <w:vAlign w:val="center"/>
                  <w:hideMark/>
                </w:tcPr>
                <w:p w14:paraId="6AC7A9EF" w14:textId="77777777" w:rsidR="003672BA" w:rsidRPr="005236CD" w:rsidRDefault="003672BA" w:rsidP="003672BA">
                  <w:pPr>
                    <w:tabs>
                      <w:tab w:val="left" w:pos="810"/>
                    </w:tabs>
                    <w:ind w:left="22" w:hanging="22"/>
                    <w:jc w:val="both"/>
                    <w:rPr>
                      <w:sz w:val="22"/>
                      <w:szCs w:val="22"/>
                    </w:rPr>
                  </w:pPr>
                  <w:r w:rsidRPr="005236CD">
                    <w:rPr>
                      <w:sz w:val="22"/>
                      <w:szCs w:val="22"/>
                    </w:rPr>
                    <w:t>FĮ-16-04</w:t>
                  </w:r>
                </w:p>
              </w:tc>
              <w:tc>
                <w:tcPr>
                  <w:tcW w:w="1377" w:type="dxa"/>
                  <w:tcBorders>
                    <w:top w:val="single" w:sz="4" w:space="0" w:color="auto"/>
                    <w:left w:val="single" w:sz="8" w:space="0" w:color="auto"/>
                    <w:bottom w:val="single" w:sz="8" w:space="0" w:color="auto"/>
                    <w:right w:val="single" w:sz="8" w:space="0" w:color="auto"/>
                  </w:tcBorders>
                  <w:vAlign w:val="center"/>
                  <w:hideMark/>
                </w:tcPr>
                <w:p w14:paraId="08CF240C"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nil"/>
                    <w:left w:val="single" w:sz="6" w:space="0" w:color="auto"/>
                    <w:bottom w:val="single" w:sz="6" w:space="0" w:color="auto"/>
                    <w:right w:val="single" w:sz="6" w:space="0" w:color="auto"/>
                  </w:tcBorders>
                  <w:vAlign w:val="bottom"/>
                  <w:hideMark/>
                </w:tcPr>
                <w:p w14:paraId="0DA69B55" w14:textId="77777777" w:rsidR="003672BA" w:rsidRPr="005236CD" w:rsidRDefault="003672BA" w:rsidP="003672BA">
                  <w:pPr>
                    <w:tabs>
                      <w:tab w:val="left" w:pos="810"/>
                    </w:tabs>
                    <w:ind w:left="22" w:hanging="22"/>
                    <w:jc w:val="both"/>
                    <w:rPr>
                      <w:sz w:val="22"/>
                      <w:szCs w:val="22"/>
                    </w:rPr>
                  </w:pPr>
                  <w:r w:rsidRPr="005236CD">
                    <w:rPr>
                      <w:sz w:val="22"/>
                      <w:szCs w:val="22"/>
                    </w:rPr>
                    <w:t>Projekto dalyvio trumpos trukmės (ne daugiau nei 879 val.) formaliojo profesinio mokymo pagal pameistrystės formą darbo vietoje fiksuotasis vieneto įkainis, su PVM </w:t>
                  </w:r>
                </w:p>
              </w:tc>
              <w:tc>
                <w:tcPr>
                  <w:tcW w:w="2693" w:type="dxa"/>
                  <w:tcBorders>
                    <w:top w:val="single" w:sz="4" w:space="0" w:color="auto"/>
                    <w:left w:val="single" w:sz="8" w:space="0" w:color="auto"/>
                    <w:bottom w:val="single" w:sz="8" w:space="0" w:color="auto"/>
                    <w:right w:val="single" w:sz="8" w:space="0" w:color="auto"/>
                  </w:tcBorders>
                  <w:vAlign w:val="center"/>
                </w:tcPr>
                <w:p w14:paraId="4BA1BD7B" w14:textId="77777777" w:rsidR="003672BA" w:rsidRPr="005236CD" w:rsidRDefault="003672BA" w:rsidP="003672BA">
                  <w:pPr>
                    <w:tabs>
                      <w:tab w:val="left" w:pos="810"/>
                    </w:tabs>
                    <w:ind w:left="22" w:hanging="22"/>
                    <w:jc w:val="both"/>
                    <w:rPr>
                      <w:sz w:val="22"/>
                      <w:szCs w:val="22"/>
                    </w:rPr>
                  </w:pPr>
                  <w:r w:rsidRPr="005236CD">
                    <w:rPr>
                      <w:sz w:val="22"/>
                      <w:szCs w:val="22"/>
                    </w:rPr>
                    <w:t>Kvietimams, paskelbtiems nuo 2025 m. birželio mėn., taikoma 03 supaprastintai apmokamų išlaidų dydžio versija</w:t>
                  </w:r>
                </w:p>
              </w:tc>
            </w:tr>
            <w:tr w:rsidR="003672BA" w:rsidRPr="005236CD" w14:paraId="48434E60" w14:textId="77777777" w:rsidTr="00361FC4">
              <w:tc>
                <w:tcPr>
                  <w:tcW w:w="1875" w:type="dxa"/>
                  <w:tcBorders>
                    <w:top w:val="single" w:sz="8" w:space="0" w:color="auto"/>
                    <w:left w:val="single" w:sz="8" w:space="0" w:color="auto"/>
                    <w:bottom w:val="single" w:sz="8" w:space="0" w:color="auto"/>
                    <w:right w:val="single" w:sz="8" w:space="0" w:color="auto"/>
                  </w:tcBorders>
                </w:tcPr>
                <w:p w14:paraId="691EA30E" w14:textId="77777777" w:rsidR="003672BA" w:rsidRPr="005236CD" w:rsidRDefault="003672BA" w:rsidP="003672BA">
                  <w:pPr>
                    <w:tabs>
                      <w:tab w:val="left" w:pos="810"/>
                    </w:tabs>
                    <w:ind w:left="22" w:hanging="22"/>
                    <w:jc w:val="both"/>
                    <w:rPr>
                      <w:sz w:val="22"/>
                      <w:szCs w:val="22"/>
                    </w:rPr>
                  </w:pPr>
                </w:p>
              </w:tc>
              <w:tc>
                <w:tcPr>
                  <w:tcW w:w="1884" w:type="dxa"/>
                  <w:tcBorders>
                    <w:top w:val="single" w:sz="8" w:space="0" w:color="auto"/>
                    <w:left w:val="single" w:sz="8" w:space="0" w:color="auto"/>
                    <w:bottom w:val="single" w:sz="8" w:space="0" w:color="auto"/>
                    <w:right w:val="single" w:sz="8" w:space="0" w:color="auto"/>
                  </w:tcBorders>
                  <w:hideMark/>
                </w:tcPr>
                <w:p w14:paraId="57623B4F" w14:textId="77777777" w:rsidR="003672BA" w:rsidRPr="005236CD" w:rsidRDefault="003672BA" w:rsidP="003672BA">
                  <w:pPr>
                    <w:tabs>
                      <w:tab w:val="left" w:pos="810"/>
                    </w:tabs>
                    <w:ind w:left="22" w:hanging="22"/>
                    <w:jc w:val="both"/>
                    <w:rPr>
                      <w:sz w:val="22"/>
                      <w:szCs w:val="22"/>
                    </w:rPr>
                  </w:pPr>
                  <w:r w:rsidRPr="005236CD">
                    <w:rPr>
                      <w:sz w:val="22"/>
                      <w:szCs w:val="22"/>
                    </w:rPr>
                    <w:t>FS-01-02</w:t>
                  </w:r>
                </w:p>
              </w:tc>
              <w:tc>
                <w:tcPr>
                  <w:tcW w:w="1377" w:type="dxa"/>
                  <w:tcBorders>
                    <w:top w:val="single" w:sz="8" w:space="0" w:color="auto"/>
                    <w:left w:val="single" w:sz="8" w:space="0" w:color="auto"/>
                    <w:bottom w:val="single" w:sz="8" w:space="0" w:color="auto"/>
                    <w:right w:val="single" w:sz="8" w:space="0" w:color="auto"/>
                  </w:tcBorders>
                  <w:hideMark/>
                </w:tcPr>
                <w:p w14:paraId="6E8A1CC3"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single" w:sz="8" w:space="0" w:color="auto"/>
                    <w:left w:val="single" w:sz="8" w:space="0" w:color="auto"/>
                    <w:bottom w:val="single" w:sz="8" w:space="0" w:color="auto"/>
                    <w:right w:val="single" w:sz="8" w:space="0" w:color="auto"/>
                  </w:tcBorders>
                  <w:hideMark/>
                </w:tcPr>
                <w:p w14:paraId="437E6797" w14:textId="77777777" w:rsidR="003672BA" w:rsidRPr="005236CD" w:rsidRDefault="003672BA" w:rsidP="003672BA">
                  <w:pPr>
                    <w:tabs>
                      <w:tab w:val="left" w:pos="810"/>
                    </w:tabs>
                    <w:ind w:left="22" w:hanging="22"/>
                    <w:jc w:val="both"/>
                    <w:rPr>
                      <w:sz w:val="22"/>
                      <w:szCs w:val="22"/>
                    </w:rPr>
                  </w:pPr>
                  <w:r w:rsidRPr="005236CD">
                    <w:rPr>
                      <w:sz w:val="22"/>
                      <w:szCs w:val="22"/>
                    </w:rPr>
                    <w:t>Įgyvendintų privalomų matomumo ir informavimo priemonių apie ES fondų investicijų veiklas fiksuotoji suma, pirmojo rinkinio FS su PVM</w:t>
                  </w:r>
                </w:p>
              </w:tc>
              <w:tc>
                <w:tcPr>
                  <w:tcW w:w="2693" w:type="dxa"/>
                  <w:vMerge w:val="restart"/>
                  <w:tcBorders>
                    <w:top w:val="single" w:sz="8" w:space="0" w:color="auto"/>
                    <w:left w:val="single" w:sz="8" w:space="0" w:color="auto"/>
                    <w:bottom w:val="single" w:sz="8" w:space="0" w:color="auto"/>
                    <w:right w:val="single" w:sz="8" w:space="0" w:color="auto"/>
                  </w:tcBorders>
                </w:tcPr>
                <w:p w14:paraId="6358E458" w14:textId="77777777" w:rsidR="003672BA" w:rsidRPr="005236CD" w:rsidRDefault="003672BA" w:rsidP="003672BA">
                  <w:pPr>
                    <w:tabs>
                      <w:tab w:val="left" w:pos="810"/>
                    </w:tabs>
                    <w:ind w:left="22" w:hanging="22"/>
                    <w:jc w:val="both"/>
                    <w:rPr>
                      <w:sz w:val="22"/>
                      <w:szCs w:val="22"/>
                    </w:rPr>
                  </w:pPr>
                </w:p>
                <w:p w14:paraId="643CF1A9" w14:textId="77777777" w:rsidR="003672BA" w:rsidRPr="005236CD" w:rsidRDefault="003672BA" w:rsidP="003672BA">
                  <w:pPr>
                    <w:tabs>
                      <w:tab w:val="left" w:pos="810"/>
                    </w:tabs>
                    <w:ind w:left="22" w:hanging="22"/>
                    <w:jc w:val="both"/>
                    <w:rPr>
                      <w:sz w:val="22"/>
                      <w:szCs w:val="22"/>
                    </w:rPr>
                  </w:pPr>
                </w:p>
                <w:p w14:paraId="110FDD9A" w14:textId="77777777" w:rsidR="003672BA" w:rsidRPr="005236CD" w:rsidRDefault="003672BA" w:rsidP="003672BA">
                  <w:pPr>
                    <w:tabs>
                      <w:tab w:val="left" w:pos="810"/>
                    </w:tabs>
                    <w:ind w:left="22" w:hanging="22"/>
                    <w:jc w:val="both"/>
                    <w:rPr>
                      <w:sz w:val="22"/>
                      <w:szCs w:val="22"/>
                    </w:rPr>
                  </w:pPr>
                </w:p>
                <w:p w14:paraId="28B5246E" w14:textId="77777777" w:rsidR="003672BA" w:rsidRPr="005236CD" w:rsidRDefault="003672BA" w:rsidP="003672BA">
                  <w:pPr>
                    <w:tabs>
                      <w:tab w:val="left" w:pos="810"/>
                    </w:tabs>
                    <w:ind w:left="22" w:hanging="22"/>
                    <w:jc w:val="both"/>
                    <w:rPr>
                      <w:sz w:val="22"/>
                      <w:szCs w:val="22"/>
                    </w:rPr>
                  </w:pPr>
                  <w:r w:rsidRPr="005236CD">
                    <w:rPr>
                      <w:sz w:val="22"/>
                      <w:szCs w:val="22"/>
                    </w:rPr>
                    <w:t>Kvietimams, paskelbtiems nuo 2025 m. birželio mėn., taikoma 03 supaprastintai apmokamų išlaidų dydžio versija</w:t>
                  </w:r>
                </w:p>
              </w:tc>
            </w:tr>
            <w:tr w:rsidR="003672BA" w:rsidRPr="005236CD" w14:paraId="5C354BBC" w14:textId="77777777" w:rsidTr="00361FC4">
              <w:tc>
                <w:tcPr>
                  <w:tcW w:w="1875" w:type="dxa"/>
                  <w:tcBorders>
                    <w:top w:val="single" w:sz="8" w:space="0" w:color="auto"/>
                    <w:left w:val="single" w:sz="8" w:space="0" w:color="auto"/>
                    <w:bottom w:val="single" w:sz="8" w:space="0" w:color="auto"/>
                    <w:right w:val="single" w:sz="8" w:space="0" w:color="auto"/>
                  </w:tcBorders>
                </w:tcPr>
                <w:p w14:paraId="59229E7A" w14:textId="77777777" w:rsidR="003672BA" w:rsidRPr="005236CD" w:rsidRDefault="003672BA" w:rsidP="003672BA">
                  <w:pPr>
                    <w:tabs>
                      <w:tab w:val="left" w:pos="810"/>
                    </w:tabs>
                    <w:ind w:left="22" w:hanging="22"/>
                    <w:jc w:val="both"/>
                    <w:rPr>
                      <w:sz w:val="22"/>
                      <w:szCs w:val="22"/>
                    </w:rPr>
                  </w:pPr>
                </w:p>
              </w:tc>
              <w:tc>
                <w:tcPr>
                  <w:tcW w:w="1884" w:type="dxa"/>
                  <w:tcBorders>
                    <w:top w:val="single" w:sz="8" w:space="0" w:color="auto"/>
                    <w:left w:val="single" w:sz="8" w:space="0" w:color="auto"/>
                    <w:bottom w:val="single" w:sz="8" w:space="0" w:color="auto"/>
                    <w:right w:val="single" w:sz="8" w:space="0" w:color="auto"/>
                  </w:tcBorders>
                  <w:hideMark/>
                </w:tcPr>
                <w:p w14:paraId="202693DA" w14:textId="77777777" w:rsidR="003672BA" w:rsidRPr="005236CD" w:rsidRDefault="003672BA" w:rsidP="003672BA">
                  <w:pPr>
                    <w:tabs>
                      <w:tab w:val="left" w:pos="810"/>
                    </w:tabs>
                    <w:ind w:left="22" w:hanging="22"/>
                    <w:jc w:val="both"/>
                    <w:rPr>
                      <w:sz w:val="22"/>
                      <w:szCs w:val="22"/>
                    </w:rPr>
                  </w:pPr>
                  <w:r w:rsidRPr="005236CD">
                    <w:rPr>
                      <w:sz w:val="22"/>
                      <w:szCs w:val="22"/>
                    </w:rPr>
                    <w:t>FS-01-01</w:t>
                  </w:r>
                </w:p>
              </w:tc>
              <w:tc>
                <w:tcPr>
                  <w:tcW w:w="1377" w:type="dxa"/>
                  <w:tcBorders>
                    <w:top w:val="single" w:sz="8" w:space="0" w:color="auto"/>
                    <w:left w:val="single" w:sz="8" w:space="0" w:color="auto"/>
                    <w:bottom w:val="single" w:sz="8" w:space="0" w:color="auto"/>
                    <w:right w:val="single" w:sz="8" w:space="0" w:color="auto"/>
                  </w:tcBorders>
                  <w:hideMark/>
                </w:tcPr>
                <w:p w14:paraId="0302CA65"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single" w:sz="8" w:space="0" w:color="auto"/>
                    <w:left w:val="single" w:sz="8" w:space="0" w:color="auto"/>
                    <w:bottom w:val="single" w:sz="4" w:space="0" w:color="auto"/>
                    <w:right w:val="single" w:sz="8" w:space="0" w:color="auto"/>
                  </w:tcBorders>
                  <w:hideMark/>
                </w:tcPr>
                <w:p w14:paraId="1D1B4103" w14:textId="77777777" w:rsidR="003672BA" w:rsidRPr="005236CD" w:rsidRDefault="003672BA" w:rsidP="003672BA">
                  <w:pPr>
                    <w:tabs>
                      <w:tab w:val="left" w:pos="810"/>
                    </w:tabs>
                    <w:ind w:left="22" w:hanging="22"/>
                    <w:jc w:val="both"/>
                    <w:rPr>
                      <w:sz w:val="22"/>
                      <w:szCs w:val="22"/>
                    </w:rPr>
                  </w:pPr>
                  <w:r w:rsidRPr="005236CD">
                    <w:rPr>
                      <w:sz w:val="22"/>
                      <w:szCs w:val="22"/>
                    </w:rPr>
                    <w:t>Įgyvendintų privalomų matomumo ir informavimo priemonių apie ES fondų investicijų veiklas fiksuotoji suma, pirmojo rinkinio FS be PVM</w:t>
                  </w:r>
                </w:p>
              </w:tc>
              <w:tc>
                <w:tcPr>
                  <w:tcW w:w="2693" w:type="dxa"/>
                  <w:vMerge/>
                  <w:tcBorders>
                    <w:top w:val="single" w:sz="8" w:space="0" w:color="auto"/>
                    <w:left w:val="single" w:sz="8" w:space="0" w:color="auto"/>
                    <w:bottom w:val="single" w:sz="8" w:space="0" w:color="auto"/>
                    <w:right w:val="single" w:sz="8" w:space="0" w:color="auto"/>
                  </w:tcBorders>
                  <w:vAlign w:val="center"/>
                  <w:hideMark/>
                </w:tcPr>
                <w:p w14:paraId="3999CC09" w14:textId="77777777" w:rsidR="003672BA" w:rsidRPr="005236CD" w:rsidRDefault="003672BA" w:rsidP="003672BA">
                  <w:pPr>
                    <w:tabs>
                      <w:tab w:val="left" w:pos="810"/>
                    </w:tabs>
                    <w:ind w:left="22" w:hanging="22"/>
                    <w:jc w:val="both"/>
                    <w:rPr>
                      <w:sz w:val="22"/>
                      <w:szCs w:val="22"/>
                    </w:rPr>
                  </w:pPr>
                </w:p>
              </w:tc>
            </w:tr>
            <w:tr w:rsidR="003672BA" w:rsidRPr="005236CD" w14:paraId="4434BB08" w14:textId="77777777" w:rsidTr="00361FC4">
              <w:tc>
                <w:tcPr>
                  <w:tcW w:w="1875" w:type="dxa"/>
                  <w:tcBorders>
                    <w:top w:val="single" w:sz="8" w:space="0" w:color="auto"/>
                    <w:left w:val="single" w:sz="8" w:space="0" w:color="auto"/>
                    <w:bottom w:val="single" w:sz="8" w:space="0" w:color="auto"/>
                    <w:right w:val="single" w:sz="8" w:space="0" w:color="auto"/>
                  </w:tcBorders>
                  <w:hideMark/>
                </w:tcPr>
                <w:p w14:paraId="03A75CAB" w14:textId="77777777" w:rsidR="003672BA" w:rsidRPr="005236CD" w:rsidRDefault="003672BA" w:rsidP="003672BA">
                  <w:pPr>
                    <w:tabs>
                      <w:tab w:val="left" w:pos="810"/>
                    </w:tabs>
                    <w:ind w:left="22" w:hanging="22"/>
                    <w:jc w:val="both"/>
                    <w:rPr>
                      <w:sz w:val="22"/>
                      <w:szCs w:val="22"/>
                    </w:rPr>
                  </w:pPr>
                  <w:r w:rsidRPr="005236CD">
                    <w:rPr>
                      <w:sz w:val="22"/>
                      <w:szCs w:val="22"/>
                    </w:rPr>
                    <w:t>Netiesioginės išlaidos</w:t>
                  </w:r>
                </w:p>
              </w:tc>
              <w:tc>
                <w:tcPr>
                  <w:tcW w:w="1884" w:type="dxa"/>
                  <w:tcBorders>
                    <w:top w:val="single" w:sz="8" w:space="0" w:color="auto"/>
                    <w:left w:val="single" w:sz="8" w:space="0" w:color="auto"/>
                    <w:bottom w:val="single" w:sz="8" w:space="0" w:color="auto"/>
                    <w:right w:val="single" w:sz="8" w:space="0" w:color="auto"/>
                  </w:tcBorders>
                  <w:hideMark/>
                </w:tcPr>
                <w:p w14:paraId="469AB8C7" w14:textId="77777777" w:rsidR="003672BA" w:rsidRPr="005236CD" w:rsidRDefault="003672BA" w:rsidP="003672BA">
                  <w:pPr>
                    <w:tabs>
                      <w:tab w:val="left" w:pos="810"/>
                    </w:tabs>
                    <w:ind w:left="22" w:hanging="22"/>
                    <w:jc w:val="both"/>
                    <w:rPr>
                      <w:sz w:val="22"/>
                      <w:szCs w:val="22"/>
                    </w:rPr>
                  </w:pPr>
                  <w:r w:rsidRPr="005236CD">
                    <w:rPr>
                      <w:sz w:val="22"/>
                      <w:szCs w:val="22"/>
                    </w:rPr>
                    <w:t>FN-01</w:t>
                  </w:r>
                </w:p>
              </w:tc>
              <w:tc>
                <w:tcPr>
                  <w:tcW w:w="1377" w:type="dxa"/>
                  <w:tcBorders>
                    <w:top w:val="single" w:sz="8" w:space="0" w:color="auto"/>
                    <w:left w:val="single" w:sz="8" w:space="0" w:color="auto"/>
                    <w:bottom w:val="single" w:sz="8" w:space="0" w:color="auto"/>
                    <w:right w:val="single" w:sz="4" w:space="0" w:color="auto"/>
                  </w:tcBorders>
                  <w:hideMark/>
                </w:tcPr>
                <w:p w14:paraId="38AF8E06" w14:textId="77777777" w:rsidR="003672BA" w:rsidRPr="005236CD" w:rsidRDefault="003672BA" w:rsidP="003672BA">
                  <w:pPr>
                    <w:tabs>
                      <w:tab w:val="left" w:pos="810"/>
                    </w:tabs>
                    <w:ind w:left="22" w:hanging="22"/>
                    <w:jc w:val="both"/>
                    <w:rPr>
                      <w:sz w:val="22"/>
                      <w:szCs w:val="22"/>
                    </w:rPr>
                  </w:pPr>
                  <w:r w:rsidRPr="005236CD">
                    <w:rPr>
                      <w:sz w:val="22"/>
                      <w:szCs w:val="22"/>
                    </w:rPr>
                    <w:t>-</w:t>
                  </w:r>
                </w:p>
              </w:tc>
              <w:tc>
                <w:tcPr>
                  <w:tcW w:w="2378" w:type="dxa"/>
                  <w:tcBorders>
                    <w:top w:val="single" w:sz="4" w:space="0" w:color="auto"/>
                    <w:left w:val="single" w:sz="4" w:space="0" w:color="auto"/>
                    <w:bottom w:val="single" w:sz="4" w:space="0" w:color="auto"/>
                    <w:right w:val="single" w:sz="4" w:space="0" w:color="auto"/>
                  </w:tcBorders>
                  <w:hideMark/>
                </w:tcPr>
                <w:p w14:paraId="41E84CF4" w14:textId="77777777" w:rsidR="003672BA" w:rsidRPr="005236CD" w:rsidRDefault="003672BA" w:rsidP="003672BA">
                  <w:pPr>
                    <w:tabs>
                      <w:tab w:val="left" w:pos="810"/>
                    </w:tabs>
                    <w:ind w:left="22" w:hanging="22"/>
                    <w:jc w:val="both"/>
                    <w:rPr>
                      <w:sz w:val="22"/>
                      <w:szCs w:val="22"/>
                    </w:rPr>
                  </w:pPr>
                  <w:r w:rsidRPr="005236CD">
                    <w:rPr>
                      <w:sz w:val="22"/>
                      <w:szCs w:val="22"/>
                    </w:rPr>
                    <w:t>Iki 7 proc. netiesioginių išlaidų fiksuotoji norma</w:t>
                  </w:r>
                </w:p>
              </w:tc>
              <w:tc>
                <w:tcPr>
                  <w:tcW w:w="2693" w:type="dxa"/>
                  <w:tcBorders>
                    <w:top w:val="single" w:sz="8" w:space="0" w:color="auto"/>
                    <w:left w:val="single" w:sz="4" w:space="0" w:color="auto"/>
                    <w:bottom w:val="single" w:sz="8" w:space="0" w:color="auto"/>
                    <w:right w:val="single" w:sz="8" w:space="0" w:color="auto"/>
                  </w:tcBorders>
                  <w:hideMark/>
                </w:tcPr>
                <w:p w14:paraId="07DCFF24" w14:textId="77777777" w:rsidR="003672BA" w:rsidRPr="005236CD" w:rsidRDefault="003672BA" w:rsidP="003672BA">
                  <w:pPr>
                    <w:tabs>
                      <w:tab w:val="left" w:pos="810"/>
                    </w:tabs>
                    <w:ind w:left="22" w:hanging="22"/>
                    <w:jc w:val="both"/>
                    <w:rPr>
                      <w:sz w:val="22"/>
                      <w:szCs w:val="22"/>
                    </w:rPr>
                  </w:pPr>
                  <w:r w:rsidRPr="005236CD">
                    <w:rPr>
                      <w:sz w:val="22"/>
                      <w:szCs w:val="22"/>
                    </w:rPr>
                    <w:t>Iš fiksuotosios projekto išlaidų normos dengiamos jungtinio projekto vykdytojo ir jungtinio projekto projektų vykdytojų netiesioginės išlaidos</w:t>
                  </w:r>
                </w:p>
              </w:tc>
            </w:tr>
          </w:tbl>
          <w:p w14:paraId="5AE66271" w14:textId="77777777" w:rsidR="003672BA" w:rsidRPr="004B229B" w:rsidRDefault="003672BA" w:rsidP="00B9430D">
            <w:pPr>
              <w:jc w:val="both"/>
              <w:rPr>
                <w:iCs/>
                <w:szCs w:val="24"/>
              </w:rPr>
            </w:pPr>
          </w:p>
          <w:p w14:paraId="71BF69B4" w14:textId="457694C4" w:rsidR="00BC4036" w:rsidRPr="004B229B" w:rsidRDefault="00BC4036" w:rsidP="00657857">
            <w:pPr>
              <w:tabs>
                <w:tab w:val="left" w:pos="810"/>
              </w:tabs>
              <w:jc w:val="both"/>
            </w:pPr>
          </w:p>
        </w:tc>
      </w:tr>
    </w:tbl>
    <w:p w14:paraId="603DE3B8" w14:textId="77777777" w:rsidR="00BC4036" w:rsidRDefault="00BC4036">
      <w:pPr>
        <w:spacing w:line="276" w:lineRule="auto"/>
        <w:jc w:val="center"/>
        <w:rPr>
          <w:rFonts w:eastAsia="Calibri"/>
          <w:szCs w:val="24"/>
        </w:rPr>
      </w:pPr>
    </w:p>
    <w:p w14:paraId="0C497924" w14:textId="6741BEB4" w:rsidR="00854253" w:rsidRPr="004B229B" w:rsidRDefault="0018209F">
      <w:pPr>
        <w:spacing w:line="276" w:lineRule="auto"/>
        <w:jc w:val="center"/>
      </w:pPr>
      <w:r w:rsidRPr="004B229B">
        <w:rPr>
          <w:rFonts w:eastAsia="Calibri"/>
          <w:szCs w:val="24"/>
        </w:rPr>
        <w:t>________________</w:t>
      </w:r>
    </w:p>
    <w:p w14:paraId="7440CBCC" w14:textId="77777777" w:rsidR="00854253" w:rsidRPr="004B229B" w:rsidRDefault="00854253"/>
    <w:p w14:paraId="644E5104" w14:textId="3CE11973" w:rsidR="00854253" w:rsidRPr="004B229B" w:rsidRDefault="00854253">
      <w:pPr>
        <w:widowControl w:val="0"/>
        <w:rPr>
          <w:snapToGrid w:val="0"/>
        </w:rPr>
      </w:pPr>
    </w:p>
    <w:sectPr w:rsidR="00854253" w:rsidRPr="004B229B" w:rsidSect="00AF1173">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699" w:right="142" w:bottom="562" w:left="1238"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9BE6" w14:textId="77777777" w:rsidR="005308E4" w:rsidRDefault="005308E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F49C8AA" w14:textId="77777777" w:rsidR="005308E4" w:rsidRDefault="005308E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C6F" w14:textId="77777777" w:rsidR="00FA0B3A" w:rsidRDefault="00FA0B3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4B8A5CE" w14:textId="77777777" w:rsidR="00FA0B3A" w:rsidRDefault="00FA0B3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D0A3" w14:textId="5C379D7D" w:rsidR="00FA0B3A" w:rsidRDefault="00FA0B3A">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183EE2BF" w14:textId="77777777" w:rsidR="00FA0B3A" w:rsidRDefault="00FA0B3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C0B0" w14:textId="77777777" w:rsidR="00FA0B3A" w:rsidRDefault="00FA0B3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1833" w14:textId="77777777" w:rsidR="005308E4" w:rsidRDefault="005308E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DB386E9" w14:textId="77777777" w:rsidR="005308E4" w:rsidRDefault="005308E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C978" w14:textId="77777777" w:rsidR="00FA0B3A" w:rsidRDefault="00FA0B3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69366"/>
      <w:docPartObj>
        <w:docPartGallery w:val="Page Numbers (Top of Page)"/>
        <w:docPartUnique/>
      </w:docPartObj>
    </w:sdtPr>
    <w:sdtContent>
      <w:p w14:paraId="2BC474E2" w14:textId="29B681A0" w:rsidR="002C23D5" w:rsidRDefault="002C23D5">
        <w:pPr>
          <w:pStyle w:val="Antrats"/>
          <w:jc w:val="center"/>
        </w:pPr>
        <w:r>
          <w:fldChar w:fldCharType="begin"/>
        </w:r>
        <w:r>
          <w:instrText>PAGE   \* MERGEFORMAT</w:instrText>
        </w:r>
        <w:r>
          <w:fldChar w:fldCharType="separate"/>
        </w:r>
        <w:r w:rsidR="006B2EC7">
          <w:rPr>
            <w:noProof/>
          </w:rPr>
          <w:t>4</w:t>
        </w:r>
        <w:r>
          <w:fldChar w:fldCharType="end"/>
        </w:r>
      </w:p>
    </w:sdtContent>
  </w:sdt>
  <w:p w14:paraId="36D6C306" w14:textId="77777777" w:rsidR="00FA0B3A" w:rsidRDefault="00FA0B3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43D0" w14:textId="77777777" w:rsidR="00FA0B3A" w:rsidRDefault="00FA0B3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23C1"/>
    <w:rsid w:val="00006A3F"/>
    <w:rsid w:val="0001178B"/>
    <w:rsid w:val="00014040"/>
    <w:rsid w:val="0002077B"/>
    <w:rsid w:val="00022D8D"/>
    <w:rsid w:val="00024B38"/>
    <w:rsid w:val="00027204"/>
    <w:rsid w:val="000342E7"/>
    <w:rsid w:val="00037A26"/>
    <w:rsid w:val="0004000E"/>
    <w:rsid w:val="00041D41"/>
    <w:rsid w:val="00052E27"/>
    <w:rsid w:val="00054C12"/>
    <w:rsid w:val="00054F8D"/>
    <w:rsid w:val="00057B78"/>
    <w:rsid w:val="00057F6E"/>
    <w:rsid w:val="00071A51"/>
    <w:rsid w:val="000757A0"/>
    <w:rsid w:val="000769DE"/>
    <w:rsid w:val="00081BB8"/>
    <w:rsid w:val="000843DA"/>
    <w:rsid w:val="00085BF6"/>
    <w:rsid w:val="000933C0"/>
    <w:rsid w:val="00096A71"/>
    <w:rsid w:val="00097FEF"/>
    <w:rsid w:val="000A097C"/>
    <w:rsid w:val="000A53F2"/>
    <w:rsid w:val="000B04F8"/>
    <w:rsid w:val="000B05B4"/>
    <w:rsid w:val="000B2704"/>
    <w:rsid w:val="000B2EEC"/>
    <w:rsid w:val="000B73A3"/>
    <w:rsid w:val="000C4F23"/>
    <w:rsid w:val="000C5052"/>
    <w:rsid w:val="000C6EB1"/>
    <w:rsid w:val="000C707A"/>
    <w:rsid w:val="000D02C6"/>
    <w:rsid w:val="000D2F49"/>
    <w:rsid w:val="000D4A7D"/>
    <w:rsid w:val="000E762D"/>
    <w:rsid w:val="00100222"/>
    <w:rsid w:val="00100263"/>
    <w:rsid w:val="00102294"/>
    <w:rsid w:val="00104214"/>
    <w:rsid w:val="00106968"/>
    <w:rsid w:val="00110C96"/>
    <w:rsid w:val="00113B3B"/>
    <w:rsid w:val="00114237"/>
    <w:rsid w:val="00117DE5"/>
    <w:rsid w:val="00122A51"/>
    <w:rsid w:val="00122F8A"/>
    <w:rsid w:val="00123A06"/>
    <w:rsid w:val="00131633"/>
    <w:rsid w:val="00132DEC"/>
    <w:rsid w:val="0013580B"/>
    <w:rsid w:val="00141BA7"/>
    <w:rsid w:val="0014218A"/>
    <w:rsid w:val="001431B4"/>
    <w:rsid w:val="0014358E"/>
    <w:rsid w:val="001461C5"/>
    <w:rsid w:val="00147686"/>
    <w:rsid w:val="00152927"/>
    <w:rsid w:val="00154AAD"/>
    <w:rsid w:val="00154BDE"/>
    <w:rsid w:val="00154C25"/>
    <w:rsid w:val="001570EF"/>
    <w:rsid w:val="00162C7C"/>
    <w:rsid w:val="0017269B"/>
    <w:rsid w:val="0018209F"/>
    <w:rsid w:val="001846E8"/>
    <w:rsid w:val="00193901"/>
    <w:rsid w:val="0019565E"/>
    <w:rsid w:val="001A2481"/>
    <w:rsid w:val="001A3288"/>
    <w:rsid w:val="001A38B2"/>
    <w:rsid w:val="001A5B37"/>
    <w:rsid w:val="001A7F92"/>
    <w:rsid w:val="001B1488"/>
    <w:rsid w:val="001B3F36"/>
    <w:rsid w:val="001B49DF"/>
    <w:rsid w:val="001B5DA3"/>
    <w:rsid w:val="001D0CEE"/>
    <w:rsid w:val="001D3D29"/>
    <w:rsid w:val="001D4327"/>
    <w:rsid w:val="001D5195"/>
    <w:rsid w:val="001E2B16"/>
    <w:rsid w:val="001E4C31"/>
    <w:rsid w:val="001E5625"/>
    <w:rsid w:val="001E635B"/>
    <w:rsid w:val="001E65B5"/>
    <w:rsid w:val="001E6A78"/>
    <w:rsid w:val="001F09C5"/>
    <w:rsid w:val="001F4D9B"/>
    <w:rsid w:val="001F6D21"/>
    <w:rsid w:val="0020212E"/>
    <w:rsid w:val="002067A6"/>
    <w:rsid w:val="0021060A"/>
    <w:rsid w:val="00216EA2"/>
    <w:rsid w:val="00222D05"/>
    <w:rsid w:val="00225E66"/>
    <w:rsid w:val="00226BAB"/>
    <w:rsid w:val="00226D7B"/>
    <w:rsid w:val="00230D9D"/>
    <w:rsid w:val="00231193"/>
    <w:rsid w:val="0023131B"/>
    <w:rsid w:val="0023211C"/>
    <w:rsid w:val="00233680"/>
    <w:rsid w:val="00234CC2"/>
    <w:rsid w:val="002361BE"/>
    <w:rsid w:val="002407EF"/>
    <w:rsid w:val="00240DD5"/>
    <w:rsid w:val="0024414E"/>
    <w:rsid w:val="00253707"/>
    <w:rsid w:val="00263CC7"/>
    <w:rsid w:val="0026780B"/>
    <w:rsid w:val="00267B4B"/>
    <w:rsid w:val="00270EDD"/>
    <w:rsid w:val="0027393A"/>
    <w:rsid w:val="00275DE3"/>
    <w:rsid w:val="00275E4D"/>
    <w:rsid w:val="00276B71"/>
    <w:rsid w:val="00291579"/>
    <w:rsid w:val="00296BF7"/>
    <w:rsid w:val="002A14B1"/>
    <w:rsid w:val="002A1E26"/>
    <w:rsid w:val="002A2F67"/>
    <w:rsid w:val="002A771F"/>
    <w:rsid w:val="002B3E16"/>
    <w:rsid w:val="002B4B13"/>
    <w:rsid w:val="002C1F37"/>
    <w:rsid w:val="002C23D5"/>
    <w:rsid w:val="002C3470"/>
    <w:rsid w:val="002C3D2F"/>
    <w:rsid w:val="002C45ED"/>
    <w:rsid w:val="002C620D"/>
    <w:rsid w:val="002C62DD"/>
    <w:rsid w:val="002D1DA3"/>
    <w:rsid w:val="002D3004"/>
    <w:rsid w:val="002D7459"/>
    <w:rsid w:val="002E2084"/>
    <w:rsid w:val="002E2EFF"/>
    <w:rsid w:val="002E4D76"/>
    <w:rsid w:val="002E762F"/>
    <w:rsid w:val="002F3A29"/>
    <w:rsid w:val="003010CE"/>
    <w:rsid w:val="003077EB"/>
    <w:rsid w:val="00316F05"/>
    <w:rsid w:val="00317D88"/>
    <w:rsid w:val="0032051C"/>
    <w:rsid w:val="00327D14"/>
    <w:rsid w:val="00341BD0"/>
    <w:rsid w:val="00342296"/>
    <w:rsid w:val="00342798"/>
    <w:rsid w:val="00343485"/>
    <w:rsid w:val="00346589"/>
    <w:rsid w:val="00357AE2"/>
    <w:rsid w:val="003632FD"/>
    <w:rsid w:val="003633BF"/>
    <w:rsid w:val="00363DD5"/>
    <w:rsid w:val="003664B7"/>
    <w:rsid w:val="003672BA"/>
    <w:rsid w:val="00370D06"/>
    <w:rsid w:val="00370F75"/>
    <w:rsid w:val="00373A93"/>
    <w:rsid w:val="0037592F"/>
    <w:rsid w:val="00375C70"/>
    <w:rsid w:val="00376F4B"/>
    <w:rsid w:val="00385144"/>
    <w:rsid w:val="003A1556"/>
    <w:rsid w:val="003A2221"/>
    <w:rsid w:val="003A26FB"/>
    <w:rsid w:val="003A2F8D"/>
    <w:rsid w:val="003A33CA"/>
    <w:rsid w:val="003A4711"/>
    <w:rsid w:val="003A67CF"/>
    <w:rsid w:val="003A680A"/>
    <w:rsid w:val="003B14D1"/>
    <w:rsid w:val="003B3D91"/>
    <w:rsid w:val="003B6069"/>
    <w:rsid w:val="003C20AA"/>
    <w:rsid w:val="003C3B6C"/>
    <w:rsid w:val="003C4B17"/>
    <w:rsid w:val="003C5934"/>
    <w:rsid w:val="003D0508"/>
    <w:rsid w:val="003D2727"/>
    <w:rsid w:val="003D56E2"/>
    <w:rsid w:val="003D57AC"/>
    <w:rsid w:val="003D583A"/>
    <w:rsid w:val="003D609B"/>
    <w:rsid w:val="003E1F50"/>
    <w:rsid w:val="003E2963"/>
    <w:rsid w:val="003E5111"/>
    <w:rsid w:val="003E740E"/>
    <w:rsid w:val="003F29FD"/>
    <w:rsid w:val="003F3F26"/>
    <w:rsid w:val="003F5906"/>
    <w:rsid w:val="003F6FBF"/>
    <w:rsid w:val="00405764"/>
    <w:rsid w:val="004062DC"/>
    <w:rsid w:val="004129D6"/>
    <w:rsid w:val="00412C35"/>
    <w:rsid w:val="00415496"/>
    <w:rsid w:val="0042083D"/>
    <w:rsid w:val="004212DB"/>
    <w:rsid w:val="00430603"/>
    <w:rsid w:val="00430D27"/>
    <w:rsid w:val="004328F7"/>
    <w:rsid w:val="00433001"/>
    <w:rsid w:val="00433849"/>
    <w:rsid w:val="004346EE"/>
    <w:rsid w:val="0043536F"/>
    <w:rsid w:val="00436B99"/>
    <w:rsid w:val="004378E5"/>
    <w:rsid w:val="0044455A"/>
    <w:rsid w:val="00446F78"/>
    <w:rsid w:val="00451825"/>
    <w:rsid w:val="004523E5"/>
    <w:rsid w:val="00457070"/>
    <w:rsid w:val="00460639"/>
    <w:rsid w:val="00460BA1"/>
    <w:rsid w:val="004654A6"/>
    <w:rsid w:val="00467AEA"/>
    <w:rsid w:val="0047211B"/>
    <w:rsid w:val="00474407"/>
    <w:rsid w:val="0048028A"/>
    <w:rsid w:val="00483A91"/>
    <w:rsid w:val="00484CE6"/>
    <w:rsid w:val="004854C7"/>
    <w:rsid w:val="004953E6"/>
    <w:rsid w:val="0049552F"/>
    <w:rsid w:val="00496DD4"/>
    <w:rsid w:val="004A07AF"/>
    <w:rsid w:val="004A5E83"/>
    <w:rsid w:val="004B229B"/>
    <w:rsid w:val="004B2817"/>
    <w:rsid w:val="004B3DEE"/>
    <w:rsid w:val="004C3C9C"/>
    <w:rsid w:val="004C540A"/>
    <w:rsid w:val="004C749F"/>
    <w:rsid w:val="004D206F"/>
    <w:rsid w:val="004D30E9"/>
    <w:rsid w:val="004D56D6"/>
    <w:rsid w:val="004E0675"/>
    <w:rsid w:val="004E2F49"/>
    <w:rsid w:val="004F06C2"/>
    <w:rsid w:val="004F4C15"/>
    <w:rsid w:val="004F601E"/>
    <w:rsid w:val="004F7C5F"/>
    <w:rsid w:val="004F7D81"/>
    <w:rsid w:val="005001F5"/>
    <w:rsid w:val="0050450A"/>
    <w:rsid w:val="00513872"/>
    <w:rsid w:val="00514448"/>
    <w:rsid w:val="00520A1B"/>
    <w:rsid w:val="005218B9"/>
    <w:rsid w:val="00527ECA"/>
    <w:rsid w:val="005306D5"/>
    <w:rsid w:val="005308E4"/>
    <w:rsid w:val="005311AA"/>
    <w:rsid w:val="00532D2A"/>
    <w:rsid w:val="00540501"/>
    <w:rsid w:val="00540D67"/>
    <w:rsid w:val="00542AB5"/>
    <w:rsid w:val="005439A1"/>
    <w:rsid w:val="00545CFE"/>
    <w:rsid w:val="00547E76"/>
    <w:rsid w:val="0055101F"/>
    <w:rsid w:val="005520D2"/>
    <w:rsid w:val="0055391E"/>
    <w:rsid w:val="005569AD"/>
    <w:rsid w:val="00560C05"/>
    <w:rsid w:val="00561B47"/>
    <w:rsid w:val="0056390E"/>
    <w:rsid w:val="00563D3D"/>
    <w:rsid w:val="005739C4"/>
    <w:rsid w:val="0057414F"/>
    <w:rsid w:val="0057461E"/>
    <w:rsid w:val="005817A9"/>
    <w:rsid w:val="005849FA"/>
    <w:rsid w:val="00591F62"/>
    <w:rsid w:val="00594C15"/>
    <w:rsid w:val="0059588F"/>
    <w:rsid w:val="00596836"/>
    <w:rsid w:val="00597143"/>
    <w:rsid w:val="005A3C48"/>
    <w:rsid w:val="005A6066"/>
    <w:rsid w:val="005A6748"/>
    <w:rsid w:val="005B513E"/>
    <w:rsid w:val="005B57C6"/>
    <w:rsid w:val="005C0E36"/>
    <w:rsid w:val="005C1A14"/>
    <w:rsid w:val="005C2488"/>
    <w:rsid w:val="005C28CB"/>
    <w:rsid w:val="005C5040"/>
    <w:rsid w:val="005C640A"/>
    <w:rsid w:val="005D104B"/>
    <w:rsid w:val="005D30F6"/>
    <w:rsid w:val="005D75A1"/>
    <w:rsid w:val="005E0F5B"/>
    <w:rsid w:val="005F155B"/>
    <w:rsid w:val="005F47B9"/>
    <w:rsid w:val="005F57F1"/>
    <w:rsid w:val="005F7359"/>
    <w:rsid w:val="005F7584"/>
    <w:rsid w:val="00602744"/>
    <w:rsid w:val="006038D3"/>
    <w:rsid w:val="00607834"/>
    <w:rsid w:val="00610610"/>
    <w:rsid w:val="00613B5D"/>
    <w:rsid w:val="00614773"/>
    <w:rsid w:val="006166D2"/>
    <w:rsid w:val="006206CF"/>
    <w:rsid w:val="00621DBF"/>
    <w:rsid w:val="00624C1F"/>
    <w:rsid w:val="00630DDD"/>
    <w:rsid w:val="00631962"/>
    <w:rsid w:val="00640475"/>
    <w:rsid w:val="00645A09"/>
    <w:rsid w:val="00645BF6"/>
    <w:rsid w:val="00650CB9"/>
    <w:rsid w:val="00651AB8"/>
    <w:rsid w:val="00656C99"/>
    <w:rsid w:val="00657857"/>
    <w:rsid w:val="00660495"/>
    <w:rsid w:val="006647FC"/>
    <w:rsid w:val="006654F5"/>
    <w:rsid w:val="006760E0"/>
    <w:rsid w:val="0067773A"/>
    <w:rsid w:val="006834BF"/>
    <w:rsid w:val="006834D3"/>
    <w:rsid w:val="00691180"/>
    <w:rsid w:val="00697133"/>
    <w:rsid w:val="006A322B"/>
    <w:rsid w:val="006A4059"/>
    <w:rsid w:val="006A7826"/>
    <w:rsid w:val="006B033B"/>
    <w:rsid w:val="006B2EC7"/>
    <w:rsid w:val="006B3890"/>
    <w:rsid w:val="006C1ACB"/>
    <w:rsid w:val="006C1E6F"/>
    <w:rsid w:val="006C213C"/>
    <w:rsid w:val="006C2A90"/>
    <w:rsid w:val="006D0564"/>
    <w:rsid w:val="006D1699"/>
    <w:rsid w:val="006D1DAB"/>
    <w:rsid w:val="006D6A0A"/>
    <w:rsid w:val="006D7115"/>
    <w:rsid w:val="006E0339"/>
    <w:rsid w:val="006E1C8B"/>
    <w:rsid w:val="006E1F8E"/>
    <w:rsid w:val="006E7B7A"/>
    <w:rsid w:val="006F3D38"/>
    <w:rsid w:val="006F5C18"/>
    <w:rsid w:val="006F5F37"/>
    <w:rsid w:val="00700EC4"/>
    <w:rsid w:val="0070107A"/>
    <w:rsid w:val="00704F93"/>
    <w:rsid w:val="00711A31"/>
    <w:rsid w:val="0071450A"/>
    <w:rsid w:val="007163FE"/>
    <w:rsid w:val="00716638"/>
    <w:rsid w:val="0071773D"/>
    <w:rsid w:val="00736E9D"/>
    <w:rsid w:val="00745366"/>
    <w:rsid w:val="00746744"/>
    <w:rsid w:val="0075015D"/>
    <w:rsid w:val="00751748"/>
    <w:rsid w:val="00755A76"/>
    <w:rsid w:val="00760E5B"/>
    <w:rsid w:val="00761B01"/>
    <w:rsid w:val="00765955"/>
    <w:rsid w:val="0077362B"/>
    <w:rsid w:val="00774D58"/>
    <w:rsid w:val="007773E6"/>
    <w:rsid w:val="00777AEE"/>
    <w:rsid w:val="00781DC8"/>
    <w:rsid w:val="00784D1D"/>
    <w:rsid w:val="00784D2C"/>
    <w:rsid w:val="0078667E"/>
    <w:rsid w:val="007903D9"/>
    <w:rsid w:val="00791A40"/>
    <w:rsid w:val="0079389E"/>
    <w:rsid w:val="007944B1"/>
    <w:rsid w:val="00795397"/>
    <w:rsid w:val="00795A40"/>
    <w:rsid w:val="007973FA"/>
    <w:rsid w:val="007A0EEC"/>
    <w:rsid w:val="007A459B"/>
    <w:rsid w:val="007A4EB4"/>
    <w:rsid w:val="007A7B5B"/>
    <w:rsid w:val="007B1D6F"/>
    <w:rsid w:val="007B2FBB"/>
    <w:rsid w:val="007B49DB"/>
    <w:rsid w:val="007C32D3"/>
    <w:rsid w:val="007C60E0"/>
    <w:rsid w:val="007D0EDF"/>
    <w:rsid w:val="007D4864"/>
    <w:rsid w:val="007D69D8"/>
    <w:rsid w:val="007D7044"/>
    <w:rsid w:val="007E2AFB"/>
    <w:rsid w:val="007E3AAD"/>
    <w:rsid w:val="007E48E9"/>
    <w:rsid w:val="007E53BD"/>
    <w:rsid w:val="007E5A16"/>
    <w:rsid w:val="007E7B68"/>
    <w:rsid w:val="00801130"/>
    <w:rsid w:val="00802218"/>
    <w:rsid w:val="00802918"/>
    <w:rsid w:val="00803F3D"/>
    <w:rsid w:val="00805CC6"/>
    <w:rsid w:val="00810F3B"/>
    <w:rsid w:val="008141A8"/>
    <w:rsid w:val="008221C3"/>
    <w:rsid w:val="00825377"/>
    <w:rsid w:val="00825712"/>
    <w:rsid w:val="00825E96"/>
    <w:rsid w:val="008269CD"/>
    <w:rsid w:val="0082752D"/>
    <w:rsid w:val="008300BA"/>
    <w:rsid w:val="00832003"/>
    <w:rsid w:val="00836442"/>
    <w:rsid w:val="00845A02"/>
    <w:rsid w:val="00847B45"/>
    <w:rsid w:val="00850A67"/>
    <w:rsid w:val="008522F8"/>
    <w:rsid w:val="00854253"/>
    <w:rsid w:val="00855ABC"/>
    <w:rsid w:val="008662A8"/>
    <w:rsid w:val="008671B4"/>
    <w:rsid w:val="00873893"/>
    <w:rsid w:val="008746CA"/>
    <w:rsid w:val="008756F4"/>
    <w:rsid w:val="00875A4A"/>
    <w:rsid w:val="00877A2C"/>
    <w:rsid w:val="00883967"/>
    <w:rsid w:val="008854FD"/>
    <w:rsid w:val="00885597"/>
    <w:rsid w:val="0089181E"/>
    <w:rsid w:val="00895E10"/>
    <w:rsid w:val="008A12E1"/>
    <w:rsid w:val="008A187E"/>
    <w:rsid w:val="008A386D"/>
    <w:rsid w:val="008A3D1F"/>
    <w:rsid w:val="008A7285"/>
    <w:rsid w:val="008B10CA"/>
    <w:rsid w:val="008B739C"/>
    <w:rsid w:val="008C23AA"/>
    <w:rsid w:val="008C55C2"/>
    <w:rsid w:val="008C7A2B"/>
    <w:rsid w:val="008D2509"/>
    <w:rsid w:val="008D3C4D"/>
    <w:rsid w:val="008D4102"/>
    <w:rsid w:val="008E1A89"/>
    <w:rsid w:val="008E2804"/>
    <w:rsid w:val="008E711E"/>
    <w:rsid w:val="008F0D7A"/>
    <w:rsid w:val="008F5BBF"/>
    <w:rsid w:val="008F5C22"/>
    <w:rsid w:val="00913E34"/>
    <w:rsid w:val="0091681B"/>
    <w:rsid w:val="00916B8D"/>
    <w:rsid w:val="009266C0"/>
    <w:rsid w:val="00930700"/>
    <w:rsid w:val="00931C88"/>
    <w:rsid w:val="009320A1"/>
    <w:rsid w:val="0093417A"/>
    <w:rsid w:val="00937D13"/>
    <w:rsid w:val="009462FF"/>
    <w:rsid w:val="00957C37"/>
    <w:rsid w:val="00957CDF"/>
    <w:rsid w:val="00960633"/>
    <w:rsid w:val="00961347"/>
    <w:rsid w:val="00962FF8"/>
    <w:rsid w:val="009652CA"/>
    <w:rsid w:val="00970DD2"/>
    <w:rsid w:val="009764FC"/>
    <w:rsid w:val="00977A84"/>
    <w:rsid w:val="0098401D"/>
    <w:rsid w:val="00992023"/>
    <w:rsid w:val="00992C45"/>
    <w:rsid w:val="0099336D"/>
    <w:rsid w:val="009957C4"/>
    <w:rsid w:val="00996F21"/>
    <w:rsid w:val="00997D5A"/>
    <w:rsid w:val="009A0E0B"/>
    <w:rsid w:val="009A5201"/>
    <w:rsid w:val="009A6B18"/>
    <w:rsid w:val="009B4151"/>
    <w:rsid w:val="009C124E"/>
    <w:rsid w:val="009C1A68"/>
    <w:rsid w:val="009C203E"/>
    <w:rsid w:val="009C6755"/>
    <w:rsid w:val="009C68E7"/>
    <w:rsid w:val="009D6738"/>
    <w:rsid w:val="009E11CF"/>
    <w:rsid w:val="009E2B46"/>
    <w:rsid w:val="009E2F78"/>
    <w:rsid w:val="009E7E29"/>
    <w:rsid w:val="009F094F"/>
    <w:rsid w:val="009F0C4D"/>
    <w:rsid w:val="009F2923"/>
    <w:rsid w:val="009F2B5D"/>
    <w:rsid w:val="00A02901"/>
    <w:rsid w:val="00A02CCC"/>
    <w:rsid w:val="00A046E4"/>
    <w:rsid w:val="00A20931"/>
    <w:rsid w:val="00A2127E"/>
    <w:rsid w:val="00A21C5F"/>
    <w:rsid w:val="00A23AF5"/>
    <w:rsid w:val="00A23F36"/>
    <w:rsid w:val="00A32E69"/>
    <w:rsid w:val="00A33FE3"/>
    <w:rsid w:val="00A34C01"/>
    <w:rsid w:val="00A36F6A"/>
    <w:rsid w:val="00A41A12"/>
    <w:rsid w:val="00A465E7"/>
    <w:rsid w:val="00A51C8F"/>
    <w:rsid w:val="00A545C4"/>
    <w:rsid w:val="00A5545F"/>
    <w:rsid w:val="00A57265"/>
    <w:rsid w:val="00A57773"/>
    <w:rsid w:val="00A61590"/>
    <w:rsid w:val="00A63533"/>
    <w:rsid w:val="00A71EAF"/>
    <w:rsid w:val="00A71F41"/>
    <w:rsid w:val="00A73BE9"/>
    <w:rsid w:val="00A74AB3"/>
    <w:rsid w:val="00A74BB2"/>
    <w:rsid w:val="00A819B8"/>
    <w:rsid w:val="00A8573F"/>
    <w:rsid w:val="00A92342"/>
    <w:rsid w:val="00A97EA5"/>
    <w:rsid w:val="00AA140E"/>
    <w:rsid w:val="00AA4164"/>
    <w:rsid w:val="00AB3378"/>
    <w:rsid w:val="00AB34B6"/>
    <w:rsid w:val="00AB3C1F"/>
    <w:rsid w:val="00AC04CC"/>
    <w:rsid w:val="00AC1006"/>
    <w:rsid w:val="00AC2FE8"/>
    <w:rsid w:val="00AC6B44"/>
    <w:rsid w:val="00AC7F1A"/>
    <w:rsid w:val="00AD0E4E"/>
    <w:rsid w:val="00AD4C39"/>
    <w:rsid w:val="00AD4CFA"/>
    <w:rsid w:val="00AD5EBB"/>
    <w:rsid w:val="00AD766C"/>
    <w:rsid w:val="00AE3198"/>
    <w:rsid w:val="00AE7CA9"/>
    <w:rsid w:val="00AF1173"/>
    <w:rsid w:val="00AF2808"/>
    <w:rsid w:val="00AF4616"/>
    <w:rsid w:val="00AF7313"/>
    <w:rsid w:val="00B034EE"/>
    <w:rsid w:val="00B078F8"/>
    <w:rsid w:val="00B10711"/>
    <w:rsid w:val="00B11158"/>
    <w:rsid w:val="00B13765"/>
    <w:rsid w:val="00B14501"/>
    <w:rsid w:val="00B14765"/>
    <w:rsid w:val="00B17B05"/>
    <w:rsid w:val="00B22245"/>
    <w:rsid w:val="00B23EAA"/>
    <w:rsid w:val="00B27995"/>
    <w:rsid w:val="00B31F17"/>
    <w:rsid w:val="00B34588"/>
    <w:rsid w:val="00B365BF"/>
    <w:rsid w:val="00B404D0"/>
    <w:rsid w:val="00B45CCA"/>
    <w:rsid w:val="00B54E2A"/>
    <w:rsid w:val="00B61874"/>
    <w:rsid w:val="00B61A9C"/>
    <w:rsid w:val="00B62707"/>
    <w:rsid w:val="00B65121"/>
    <w:rsid w:val="00B70EE9"/>
    <w:rsid w:val="00B71D51"/>
    <w:rsid w:val="00B72670"/>
    <w:rsid w:val="00B73288"/>
    <w:rsid w:val="00B73302"/>
    <w:rsid w:val="00B74AB2"/>
    <w:rsid w:val="00B752BB"/>
    <w:rsid w:val="00B76058"/>
    <w:rsid w:val="00B815FA"/>
    <w:rsid w:val="00B81769"/>
    <w:rsid w:val="00B825B4"/>
    <w:rsid w:val="00B85729"/>
    <w:rsid w:val="00B85D52"/>
    <w:rsid w:val="00B86B71"/>
    <w:rsid w:val="00B93CE2"/>
    <w:rsid w:val="00BA0E13"/>
    <w:rsid w:val="00BB0AAF"/>
    <w:rsid w:val="00BC3657"/>
    <w:rsid w:val="00BC4036"/>
    <w:rsid w:val="00BC4BC6"/>
    <w:rsid w:val="00BC6B80"/>
    <w:rsid w:val="00BC7DFC"/>
    <w:rsid w:val="00BD125B"/>
    <w:rsid w:val="00BD5378"/>
    <w:rsid w:val="00BD6FFF"/>
    <w:rsid w:val="00BD79D5"/>
    <w:rsid w:val="00BD7B0D"/>
    <w:rsid w:val="00BF3D6A"/>
    <w:rsid w:val="00BF56CC"/>
    <w:rsid w:val="00C01690"/>
    <w:rsid w:val="00C05E88"/>
    <w:rsid w:val="00C07C40"/>
    <w:rsid w:val="00C146B7"/>
    <w:rsid w:val="00C22C6B"/>
    <w:rsid w:val="00C24045"/>
    <w:rsid w:val="00C31EDA"/>
    <w:rsid w:val="00C35308"/>
    <w:rsid w:val="00C36748"/>
    <w:rsid w:val="00C42ACE"/>
    <w:rsid w:val="00C4773C"/>
    <w:rsid w:val="00C629CE"/>
    <w:rsid w:val="00C70B4A"/>
    <w:rsid w:val="00C718BD"/>
    <w:rsid w:val="00C82D54"/>
    <w:rsid w:val="00C8746B"/>
    <w:rsid w:val="00C91222"/>
    <w:rsid w:val="00C94D02"/>
    <w:rsid w:val="00C96B3B"/>
    <w:rsid w:val="00CA0B5A"/>
    <w:rsid w:val="00CA15ED"/>
    <w:rsid w:val="00CA4FDC"/>
    <w:rsid w:val="00CA7A09"/>
    <w:rsid w:val="00CB3655"/>
    <w:rsid w:val="00CB54D8"/>
    <w:rsid w:val="00CB5687"/>
    <w:rsid w:val="00CC14C6"/>
    <w:rsid w:val="00CD2446"/>
    <w:rsid w:val="00CD3B78"/>
    <w:rsid w:val="00CE1DFE"/>
    <w:rsid w:val="00CE2FAC"/>
    <w:rsid w:val="00CE35F6"/>
    <w:rsid w:val="00CE740F"/>
    <w:rsid w:val="00CF1D52"/>
    <w:rsid w:val="00CF2067"/>
    <w:rsid w:val="00CF329E"/>
    <w:rsid w:val="00CF3D49"/>
    <w:rsid w:val="00CF7C51"/>
    <w:rsid w:val="00D01162"/>
    <w:rsid w:val="00D04326"/>
    <w:rsid w:val="00D0513A"/>
    <w:rsid w:val="00D0625E"/>
    <w:rsid w:val="00D117B0"/>
    <w:rsid w:val="00D12014"/>
    <w:rsid w:val="00D14887"/>
    <w:rsid w:val="00D15523"/>
    <w:rsid w:val="00D174CA"/>
    <w:rsid w:val="00D17CD9"/>
    <w:rsid w:val="00D27861"/>
    <w:rsid w:val="00D30B1A"/>
    <w:rsid w:val="00D4016E"/>
    <w:rsid w:val="00D4073E"/>
    <w:rsid w:val="00D4366F"/>
    <w:rsid w:val="00D52F8C"/>
    <w:rsid w:val="00D55C4C"/>
    <w:rsid w:val="00D61AC2"/>
    <w:rsid w:val="00D61B5A"/>
    <w:rsid w:val="00D64FC5"/>
    <w:rsid w:val="00D65440"/>
    <w:rsid w:val="00D67D72"/>
    <w:rsid w:val="00D7224B"/>
    <w:rsid w:val="00D86561"/>
    <w:rsid w:val="00D86B54"/>
    <w:rsid w:val="00D96884"/>
    <w:rsid w:val="00D9727F"/>
    <w:rsid w:val="00DA2574"/>
    <w:rsid w:val="00DA5D11"/>
    <w:rsid w:val="00DB0908"/>
    <w:rsid w:val="00DB1EFE"/>
    <w:rsid w:val="00DB7C67"/>
    <w:rsid w:val="00DC16DD"/>
    <w:rsid w:val="00DC253E"/>
    <w:rsid w:val="00DC3590"/>
    <w:rsid w:val="00DC4D52"/>
    <w:rsid w:val="00DC76D7"/>
    <w:rsid w:val="00DD0E26"/>
    <w:rsid w:val="00DD791F"/>
    <w:rsid w:val="00DD794F"/>
    <w:rsid w:val="00DD7E65"/>
    <w:rsid w:val="00DE1BF6"/>
    <w:rsid w:val="00DF7A67"/>
    <w:rsid w:val="00E0052E"/>
    <w:rsid w:val="00E028D1"/>
    <w:rsid w:val="00E0362F"/>
    <w:rsid w:val="00E0542C"/>
    <w:rsid w:val="00E06C9F"/>
    <w:rsid w:val="00E075FD"/>
    <w:rsid w:val="00E1123A"/>
    <w:rsid w:val="00E21947"/>
    <w:rsid w:val="00E2433F"/>
    <w:rsid w:val="00E269B4"/>
    <w:rsid w:val="00E303CA"/>
    <w:rsid w:val="00E30AE7"/>
    <w:rsid w:val="00E30D8B"/>
    <w:rsid w:val="00E321A9"/>
    <w:rsid w:val="00E33FA1"/>
    <w:rsid w:val="00E36832"/>
    <w:rsid w:val="00E45C6B"/>
    <w:rsid w:val="00E47313"/>
    <w:rsid w:val="00E56A64"/>
    <w:rsid w:val="00E56A99"/>
    <w:rsid w:val="00E57654"/>
    <w:rsid w:val="00E66C9B"/>
    <w:rsid w:val="00E672C2"/>
    <w:rsid w:val="00E677E7"/>
    <w:rsid w:val="00E71542"/>
    <w:rsid w:val="00E75A0D"/>
    <w:rsid w:val="00E80678"/>
    <w:rsid w:val="00E80CE4"/>
    <w:rsid w:val="00E8274E"/>
    <w:rsid w:val="00E85469"/>
    <w:rsid w:val="00E87FD5"/>
    <w:rsid w:val="00E902B7"/>
    <w:rsid w:val="00E92F40"/>
    <w:rsid w:val="00EA337C"/>
    <w:rsid w:val="00EA56DE"/>
    <w:rsid w:val="00EA7600"/>
    <w:rsid w:val="00EB07A8"/>
    <w:rsid w:val="00EB1A27"/>
    <w:rsid w:val="00EB48B1"/>
    <w:rsid w:val="00EC1D4B"/>
    <w:rsid w:val="00EC2AF1"/>
    <w:rsid w:val="00EC3020"/>
    <w:rsid w:val="00EC5314"/>
    <w:rsid w:val="00EC791B"/>
    <w:rsid w:val="00EE2E19"/>
    <w:rsid w:val="00EE6074"/>
    <w:rsid w:val="00EE694E"/>
    <w:rsid w:val="00EF0DA1"/>
    <w:rsid w:val="00EF1AD4"/>
    <w:rsid w:val="00EF475D"/>
    <w:rsid w:val="00EF48D7"/>
    <w:rsid w:val="00F022B3"/>
    <w:rsid w:val="00F035FB"/>
    <w:rsid w:val="00F0374D"/>
    <w:rsid w:val="00F040F7"/>
    <w:rsid w:val="00F05E79"/>
    <w:rsid w:val="00F117E8"/>
    <w:rsid w:val="00F144C7"/>
    <w:rsid w:val="00F1512F"/>
    <w:rsid w:val="00F1540D"/>
    <w:rsid w:val="00F15C73"/>
    <w:rsid w:val="00F16FA8"/>
    <w:rsid w:val="00F21FC9"/>
    <w:rsid w:val="00F240FC"/>
    <w:rsid w:val="00F25CB9"/>
    <w:rsid w:val="00F277FB"/>
    <w:rsid w:val="00F27FC9"/>
    <w:rsid w:val="00F30306"/>
    <w:rsid w:val="00F31307"/>
    <w:rsid w:val="00F3155B"/>
    <w:rsid w:val="00F41724"/>
    <w:rsid w:val="00F42B5B"/>
    <w:rsid w:val="00F44079"/>
    <w:rsid w:val="00F4582C"/>
    <w:rsid w:val="00F54196"/>
    <w:rsid w:val="00F60841"/>
    <w:rsid w:val="00F62048"/>
    <w:rsid w:val="00F628E3"/>
    <w:rsid w:val="00F65FAB"/>
    <w:rsid w:val="00F735DE"/>
    <w:rsid w:val="00F74C6A"/>
    <w:rsid w:val="00F75EB6"/>
    <w:rsid w:val="00F77DF2"/>
    <w:rsid w:val="00F81AF7"/>
    <w:rsid w:val="00F82208"/>
    <w:rsid w:val="00F83FDE"/>
    <w:rsid w:val="00F84CC9"/>
    <w:rsid w:val="00F8627C"/>
    <w:rsid w:val="00F92F31"/>
    <w:rsid w:val="00F94703"/>
    <w:rsid w:val="00F95133"/>
    <w:rsid w:val="00F96EF1"/>
    <w:rsid w:val="00FA0B3A"/>
    <w:rsid w:val="00FA0E25"/>
    <w:rsid w:val="00FA624A"/>
    <w:rsid w:val="00FA76F7"/>
    <w:rsid w:val="00FB18C5"/>
    <w:rsid w:val="00FB2654"/>
    <w:rsid w:val="00FC0A81"/>
    <w:rsid w:val="00FC2A01"/>
    <w:rsid w:val="00FC38EB"/>
    <w:rsid w:val="00FC6487"/>
    <w:rsid w:val="00FD4997"/>
    <w:rsid w:val="00FF0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85CA9"/>
  <w15:docId w15:val="{383111DC-5F5E-40D1-BBFD-19CFB987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AF73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7313"/>
    <w:rPr>
      <w:rFonts w:ascii="Segoe UI" w:hAnsi="Segoe UI" w:cs="Segoe UI"/>
      <w:sz w:val="18"/>
      <w:szCs w:val="18"/>
    </w:rPr>
  </w:style>
  <w:style w:type="character" w:styleId="Hipersaitas">
    <w:name w:val="Hyperlink"/>
    <w:basedOn w:val="Numatytasispastraiposriftas"/>
    <w:uiPriority w:val="99"/>
    <w:unhideWhenUsed/>
    <w:rsid w:val="0018209F"/>
    <w:rPr>
      <w:color w:val="0563C1" w:themeColor="hyperlink"/>
      <w:u w:val="single"/>
    </w:rPr>
  </w:style>
  <w:style w:type="character" w:styleId="Perirtashipersaitas">
    <w:name w:val="FollowedHyperlink"/>
    <w:basedOn w:val="Numatytasispastraiposriftas"/>
    <w:semiHidden/>
    <w:unhideWhenUsed/>
    <w:rsid w:val="0018209F"/>
    <w:rPr>
      <w:color w:val="954F72" w:themeColor="followedHyperlink"/>
      <w:u w:val="single"/>
    </w:rPr>
  </w:style>
  <w:style w:type="character" w:styleId="Komentaronuoroda">
    <w:name w:val="annotation reference"/>
    <w:basedOn w:val="Numatytasispastraiposriftas"/>
    <w:semiHidden/>
    <w:unhideWhenUsed/>
    <w:rsid w:val="007E48E9"/>
    <w:rPr>
      <w:sz w:val="16"/>
      <w:szCs w:val="16"/>
    </w:rPr>
  </w:style>
  <w:style w:type="paragraph" w:styleId="Komentarotekstas">
    <w:name w:val="annotation text"/>
    <w:basedOn w:val="prastasis"/>
    <w:link w:val="KomentarotekstasDiagrama"/>
    <w:unhideWhenUsed/>
    <w:rsid w:val="007E48E9"/>
    <w:rPr>
      <w:sz w:val="20"/>
    </w:rPr>
  </w:style>
  <w:style w:type="character" w:customStyle="1" w:styleId="KomentarotekstasDiagrama">
    <w:name w:val="Komentaro tekstas Diagrama"/>
    <w:basedOn w:val="Numatytasispastraiposriftas"/>
    <w:link w:val="Komentarotekstas"/>
    <w:rsid w:val="007E48E9"/>
    <w:rPr>
      <w:sz w:val="20"/>
    </w:rPr>
  </w:style>
  <w:style w:type="paragraph" w:styleId="Komentarotema">
    <w:name w:val="annotation subject"/>
    <w:basedOn w:val="Komentarotekstas"/>
    <w:next w:val="Komentarotekstas"/>
    <w:link w:val="KomentarotemaDiagrama"/>
    <w:semiHidden/>
    <w:unhideWhenUsed/>
    <w:rsid w:val="007E48E9"/>
    <w:rPr>
      <w:b/>
      <w:bCs/>
    </w:rPr>
  </w:style>
  <w:style w:type="character" w:customStyle="1" w:styleId="KomentarotemaDiagrama">
    <w:name w:val="Komentaro tema Diagrama"/>
    <w:basedOn w:val="KomentarotekstasDiagrama"/>
    <w:link w:val="Komentarotema"/>
    <w:semiHidden/>
    <w:rsid w:val="007E48E9"/>
    <w:rPr>
      <w:b/>
      <w:bCs/>
      <w:sz w:val="20"/>
    </w:rPr>
  </w:style>
  <w:style w:type="paragraph" w:styleId="Pataisymai">
    <w:name w:val="Revision"/>
    <w:hidden/>
    <w:semiHidden/>
    <w:rsid w:val="00873893"/>
  </w:style>
  <w:style w:type="paragraph" w:styleId="Antrats">
    <w:name w:val="header"/>
    <w:basedOn w:val="prastasis"/>
    <w:link w:val="AntratsDiagrama"/>
    <w:uiPriority w:val="99"/>
    <w:unhideWhenUsed/>
    <w:rsid w:val="002C23D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C23D5"/>
    <w:rPr>
      <w:rFonts w:asciiTheme="minorHAnsi" w:eastAsiaTheme="minorEastAsia" w:hAnsiTheme="minorHAnsi"/>
      <w:sz w:val="22"/>
      <w:szCs w:val="22"/>
      <w:lang w:eastAsia="lt-LT"/>
    </w:rPr>
  </w:style>
  <w:style w:type="character" w:styleId="Neapdorotaspaminjimas">
    <w:name w:val="Unresolved Mention"/>
    <w:basedOn w:val="Numatytasispastraiposriftas"/>
    <w:uiPriority w:val="99"/>
    <w:semiHidden/>
    <w:unhideWhenUsed/>
    <w:rsid w:val="0003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23696274">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9038401">
      <w:bodyDiv w:val="1"/>
      <w:marLeft w:val="0"/>
      <w:marRight w:val="0"/>
      <w:marTop w:val="0"/>
      <w:marBottom w:val="0"/>
      <w:divBdr>
        <w:top w:val="none" w:sz="0" w:space="0" w:color="auto"/>
        <w:left w:val="none" w:sz="0" w:space="0" w:color="auto"/>
        <w:bottom w:val="none" w:sz="0" w:space="0" w:color="auto"/>
        <w:right w:val="none" w:sz="0" w:space="0" w:color="auto"/>
      </w:divBdr>
    </w:div>
    <w:div w:id="825361393">
      <w:bodyDiv w:val="1"/>
      <w:marLeft w:val="0"/>
      <w:marRight w:val="0"/>
      <w:marTop w:val="0"/>
      <w:marBottom w:val="0"/>
      <w:divBdr>
        <w:top w:val="none" w:sz="0" w:space="0" w:color="auto"/>
        <w:left w:val="none" w:sz="0" w:space="0" w:color="auto"/>
        <w:bottom w:val="none" w:sz="0" w:space="0" w:color="auto"/>
        <w:right w:val="none" w:sz="0" w:space="0" w:color="auto"/>
      </w:divBdr>
    </w:div>
    <w:div w:id="941643540">
      <w:bodyDiv w:val="1"/>
      <w:marLeft w:val="0"/>
      <w:marRight w:val="0"/>
      <w:marTop w:val="0"/>
      <w:marBottom w:val="0"/>
      <w:divBdr>
        <w:top w:val="none" w:sz="0" w:space="0" w:color="auto"/>
        <w:left w:val="none" w:sz="0" w:space="0" w:color="auto"/>
        <w:bottom w:val="none" w:sz="0" w:space="0" w:color="auto"/>
        <w:right w:val="none" w:sz="0" w:space="0" w:color="auto"/>
      </w:divBdr>
    </w:div>
    <w:div w:id="1265381263">
      <w:bodyDiv w:val="1"/>
      <w:marLeft w:val="0"/>
      <w:marRight w:val="0"/>
      <w:marTop w:val="0"/>
      <w:marBottom w:val="0"/>
      <w:divBdr>
        <w:top w:val="none" w:sz="0" w:space="0" w:color="auto"/>
        <w:left w:val="none" w:sz="0" w:space="0" w:color="auto"/>
        <w:bottom w:val="none" w:sz="0" w:space="0" w:color="auto"/>
        <w:right w:val="none" w:sz="0" w:space="0" w:color="auto"/>
      </w:divBdr>
    </w:div>
    <w:div w:id="1293290881">
      <w:bodyDiv w:val="1"/>
      <w:marLeft w:val="0"/>
      <w:marRight w:val="0"/>
      <w:marTop w:val="0"/>
      <w:marBottom w:val="0"/>
      <w:divBdr>
        <w:top w:val="none" w:sz="0" w:space="0" w:color="auto"/>
        <w:left w:val="none" w:sz="0" w:space="0" w:color="auto"/>
        <w:bottom w:val="none" w:sz="0" w:space="0" w:color="auto"/>
        <w:right w:val="none" w:sz="0" w:space="0" w:color="auto"/>
      </w:divBdr>
    </w:div>
    <w:div w:id="1344939413">
      <w:bodyDiv w:val="1"/>
      <w:marLeft w:val="0"/>
      <w:marRight w:val="0"/>
      <w:marTop w:val="0"/>
      <w:marBottom w:val="0"/>
      <w:divBdr>
        <w:top w:val="none" w:sz="0" w:space="0" w:color="auto"/>
        <w:left w:val="none" w:sz="0" w:space="0" w:color="auto"/>
        <w:bottom w:val="none" w:sz="0" w:space="0" w:color="auto"/>
        <w:right w:val="none" w:sz="0" w:space="0" w:color="auto"/>
      </w:divBdr>
    </w:div>
    <w:div w:id="1572155178">
      <w:bodyDiv w:val="1"/>
      <w:marLeft w:val="0"/>
      <w:marRight w:val="0"/>
      <w:marTop w:val="0"/>
      <w:marBottom w:val="0"/>
      <w:divBdr>
        <w:top w:val="none" w:sz="0" w:space="0" w:color="auto"/>
        <w:left w:val="none" w:sz="0" w:space="0" w:color="auto"/>
        <w:bottom w:val="none" w:sz="0" w:space="0" w:color="auto"/>
        <w:right w:val="none" w:sz="0" w:space="0" w:color="auto"/>
      </w:divBdr>
    </w:div>
    <w:div w:id="1921408137">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3775-06E3-42E5-976C-B715EB55DF9D}">
  <ds:schemaRefs>
    <ds:schemaRef ds:uri="http://schemas.microsoft.com/office/2006/metadata/properties"/>
  </ds:schemaRefs>
</ds:datastoreItem>
</file>

<file path=customXml/itemProps2.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3.xml><?xml version="1.0" encoding="utf-8"?>
<ds:datastoreItem xmlns:ds="http://schemas.openxmlformats.org/officeDocument/2006/customXml" ds:itemID="{177BC9AD-F74C-42F0-BCCC-79A61EBEFABC}">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7C91F231-19F1-4E9F-AF9E-AD6F9004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4557</Words>
  <Characters>32679</Characters>
  <Application>Microsoft Office Word</Application>
  <DocSecurity>0</DocSecurity>
  <Lines>726</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716396ae-176e-4c8d-a8d2-30878f093367</vt:lpstr>
      <vt:lpstr/>
    </vt:vector>
  </TitlesOfParts>
  <Company>VKS</Company>
  <LinksUpToDate>false</LinksUpToDate>
  <CharactersWithSpaces>36892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2026-04-13T10:22:00Z</dcterms:created>
  <dc:creator>Janavičienė Vida | ŠMSM</dc:creator>
  <cp:lastModifiedBy>Čiutaitė Jurgita | ŠMSM</cp:lastModifiedBy>
  <cp:lastPrinted>2010-02-18T07:54:00Z</cp:lastPrinted>
  <dcterms:modified xsi:type="dcterms:W3CDTF">2026-04-15T07:13:00Z</dcterms:modified>
  <cp:revision>61</cp:revision>
  <dc:title>716396ae-176e-4c8d-a8d2-30878f093367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